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800" w:lineRule="exact" w:after="200"/>
        <w:jc w:val="center"/>
      </w:pPr>
      <w:r>
        <w:rPr>
          <w:rFonts w:ascii="方正小标宋简体" w:hAnsi="方正小标宋简体" w:eastAsia="方正小标宋简体"/>
          <w:b/>
          <w:sz w:val="44"/>
        </w:rPr>
        <w:t>中国商业秘密保护法律法规汇编报告</w:t>
      </w:r>
    </w:p>
    <w:p>
      <w:pPr>
        <w:spacing w:line="600" w:lineRule="exact" w:after="120"/>
        <w:jc w:val="center"/>
      </w:pPr>
      <w:r>
        <w:rPr>
          <w:rFonts w:ascii="楷体_GB2312" w:hAnsi="楷体_GB2312" w:eastAsia="楷体_GB2312"/>
          <w:b w:val="0"/>
          <w:sz w:val="28"/>
        </w:rPr>
        <w:t>——商业秘密法源库建设与核证成果（25件法源/29个文件/7个层级）</w:t>
      </w:r>
    </w:p>
    <w:p>
      <w:pPr>
        <w:spacing w:line="560" w:lineRule="exact" w:after="400"/>
        <w:jc w:val="center"/>
      </w:pPr>
      <w:r>
        <w:rPr>
          <w:rFonts w:ascii="仿宋_GB2312" w:hAnsi="仿宋_GB2312" w:eastAsia="仿宋_GB2312"/>
          <w:b w:val="0"/>
          <w:sz w:val="24"/>
        </w:rPr>
        <w:t>编制时间：2026年8月25日</w:t>
      </w:r>
    </w:p>
    <w:p>
      <w:pPr>
        <w:spacing w:line="600" w:lineRule="exact" w:after="160"/>
      </w:pPr>
      <w:r>
        <w:rPr>
          <w:rFonts w:ascii="黑体" w:hAnsi="黑体" w:eastAsia="黑体"/>
          <w:b w:val="0"/>
          <w:sz w:val="30"/>
        </w:rPr>
        <w:t>一、编制说明</w:t>
      </w:r>
    </w:p>
    <w:p>
      <w:pPr>
        <w:spacing w:line="560" w:lineRule="exact" w:after="120"/>
        <w:ind w:firstLine="480"/>
      </w:pPr>
      <w:r>
        <w:rPr>
          <w:rFonts w:ascii="仿宋_GB2312" w:hAnsi="仿宋_GB2312" w:eastAsia="仿宋_GB2312"/>
          <w:b w:val="0"/>
          <w:sz w:val="24"/>
        </w:rPr>
        <w:t>本报告系对截至2026年8月25日我国现行有效的商业秘密保护法律法规体系进行系统检索、下载与核证后形成的汇编成果。法源库位于“08-商业秘密法源库”目录，共收录法源25件、文件29个，按七个层级组织：法律（12件）、行政法规（1件）、部门规章（3件）、司法解释（5件）、司法文件与规范性文件（2件）、地方性法规（1件）、国家标准（1件）。</w:t>
      </w:r>
    </w:p>
    <w:p>
      <w:pPr>
        <w:spacing w:line="560" w:lineRule="exact" w:after="120"/>
        <w:ind w:firstLine="480"/>
      </w:pPr>
      <w:r>
        <w:rPr>
          <w:rFonts w:ascii="仿宋_GB2312" w:hAnsi="仿宋_GB2312" w:eastAsia="仿宋_GB2312"/>
          <w:b w:val="0"/>
          <w:sz w:val="24"/>
        </w:rPr>
        <w:t>收录标准：以“商业秘密”“技术秘密”的直接保护规定为核心，兼收商业秘密民事、行政、刑事程序中保密义务相关条款的法律文件；国家秘密管理类法规（如《保守国家秘密法》）因调整对象不同未纳入本库，仅在《商业秘密保护规定》第二十八条等转引条文中涉及。</w:t>
      </w:r>
    </w:p>
    <w:p>
      <w:pPr>
        <w:spacing w:line="560" w:lineRule="exact" w:after="120"/>
        <w:ind w:firstLine="480"/>
      </w:pPr>
      <w:r>
        <w:rPr>
          <w:rFonts w:ascii="仿宋_GB2312" w:hAnsi="仿宋_GB2312" w:eastAsia="仿宋_GB2312"/>
          <w:b w:val="0"/>
          <w:sz w:val="24"/>
        </w:rPr>
        <w:t>检索与核证方法：（1）所有法源均自官方一手来源获取——国家法律法规数据库（flk.npc.gov.cn）、市场监管总局官网、国务院国资委官网、最高人民法院官网、国家标准全文公开系统（openstd.samr.gov.cn）；（2）每份文件执行四重核验（文件格式头校验、PDF结尾%%EOF校验、页数/文本量校验、首页正文或全文文本抽样校验）；（3）本报告所引全部条文号与条文内容，均自下载的一手文本中逐条检索定位得出，非依记忆或二手资料转录；（4）个别无法从一手文本确证的信息，一律标注“待核证”。</w:t>
      </w:r>
    </w:p>
    <w:p>
      <w:pPr>
        <w:spacing w:line="600" w:lineRule="exact" w:after="160"/>
      </w:pPr>
      <w:r>
        <w:rPr>
          <w:rFonts w:ascii="黑体" w:hAnsi="黑体" w:eastAsia="黑体"/>
          <w:b w:val="0"/>
          <w:sz w:val="30"/>
        </w:rPr>
        <w:t>二、法源体系总览</w:t>
      </w:r>
    </w:p>
    <w:tbl>
      <w:tblPr>
        <w:tblStyle w:val="TableGrid"/>
        <w:tblW w:type="auto" w:w="0"/>
        <w:jc w:val="center"/>
        <w:tblLook w:firstColumn="1" w:firstRow="1" w:lastColumn="0" w:lastRow="0" w:noHBand="0" w:noVBand="1" w:val="04A0"/>
      </w:tblPr>
      <w:tblGrid>
        <w:gridCol w:w="2183"/>
        <w:gridCol w:w="2183"/>
        <w:gridCol w:w="2183"/>
        <w:gridCol w:w="2183"/>
      </w:tblGrid>
      <w:tr>
        <w:tc>
          <w:tcPr>
            <w:tcW w:type="dxa" w:w="1474"/>
          </w:tcPr>
          <w:p>
            <w:pPr>
              <w:jc w:val="center"/>
            </w:pPr>
            <w:r/>
            <w:r>
              <w:rPr>
                <w:rFonts w:ascii="黑体" w:hAnsi="黑体" w:eastAsia="黑体"/>
                <w:b/>
                <w:sz w:val="18"/>
              </w:rPr>
              <w:t>层级</w:t>
            </w:r>
          </w:p>
        </w:tc>
        <w:tc>
          <w:tcPr>
            <w:tcW w:type="dxa" w:w="680"/>
          </w:tcPr>
          <w:p>
            <w:pPr>
              <w:jc w:val="center"/>
            </w:pPr>
            <w:r/>
            <w:r>
              <w:rPr>
                <w:rFonts w:ascii="黑体" w:hAnsi="黑体" w:eastAsia="黑体"/>
                <w:b/>
                <w:sz w:val="18"/>
              </w:rPr>
              <w:t>数量</w:t>
            </w:r>
          </w:p>
        </w:tc>
        <w:tc>
          <w:tcPr>
            <w:tcW w:type="dxa" w:w="4649"/>
          </w:tcPr>
          <w:p>
            <w:pPr>
              <w:jc w:val="center"/>
            </w:pPr>
            <w:r/>
            <w:r>
              <w:rPr>
                <w:rFonts w:ascii="黑体" w:hAnsi="黑体" w:eastAsia="黑体"/>
                <w:b/>
                <w:sz w:val="18"/>
              </w:rPr>
              <w:t>法源</w:t>
            </w:r>
          </w:p>
        </w:tc>
        <w:tc>
          <w:tcPr>
            <w:tcW w:type="dxa" w:w="2494"/>
          </w:tcPr>
          <w:p>
            <w:pPr>
              <w:jc w:val="center"/>
            </w:pPr>
            <w:r/>
            <w:r>
              <w:rPr>
                <w:rFonts w:ascii="黑体" w:hAnsi="黑体" w:eastAsia="黑体"/>
                <w:b/>
                <w:sz w:val="18"/>
              </w:rPr>
              <w:t>规范功能</w:t>
            </w:r>
          </w:p>
        </w:tc>
      </w:tr>
      <w:tr>
        <w:tc>
          <w:tcPr>
            <w:tcW w:type="dxa" w:w="1474"/>
          </w:tcPr>
          <w:p>
            <w:pPr>
              <w:spacing w:line="270" w:lineRule="exact"/>
            </w:pPr>
            <w:r/>
            <w:r>
              <w:rPr>
                <w:rFonts w:ascii="仿宋_GB2312" w:hAnsi="仿宋_GB2312" w:eastAsia="仿宋_GB2312"/>
                <w:b w:val="0"/>
                <w:sz w:val="18"/>
              </w:rPr>
              <w:t>法律</w:t>
            </w:r>
          </w:p>
        </w:tc>
        <w:tc>
          <w:tcPr>
            <w:tcW w:type="dxa" w:w="680"/>
          </w:tcPr>
          <w:p>
            <w:pPr>
              <w:spacing w:line="270" w:lineRule="exact"/>
            </w:pPr>
            <w:r/>
            <w:r>
              <w:rPr>
                <w:rFonts w:ascii="仿宋_GB2312" w:hAnsi="仿宋_GB2312" w:eastAsia="仿宋_GB2312"/>
                <w:b w:val="0"/>
                <w:sz w:val="18"/>
              </w:rPr>
              <w:t>12</w:t>
            </w:r>
          </w:p>
        </w:tc>
        <w:tc>
          <w:tcPr>
            <w:tcW w:type="dxa" w:w="4649"/>
          </w:tcPr>
          <w:p>
            <w:pPr>
              <w:spacing w:line="270" w:lineRule="exact"/>
            </w:pPr>
            <w:r/>
            <w:r>
              <w:rPr>
                <w:rFonts w:ascii="仿宋_GB2312" w:hAnsi="仿宋_GB2312" w:eastAsia="仿宋_GB2312"/>
                <w:b w:val="0"/>
                <w:sz w:val="18"/>
              </w:rPr>
              <w:t>反不正当竞争法（2025修订）、刑法、民法典、劳动合同法、劳动法、公司法、民诉法、刑诉法、行诉法、促进科技成果转化法、科学技术进步法、律师法</w:t>
            </w:r>
          </w:p>
        </w:tc>
        <w:tc>
          <w:tcPr>
            <w:tcW w:type="dxa" w:w="2494"/>
          </w:tcPr>
          <w:p>
            <w:pPr>
              <w:spacing w:line="270" w:lineRule="exact"/>
            </w:pPr>
            <w:r/>
            <w:r>
              <w:rPr>
                <w:rFonts w:ascii="仿宋_GB2312" w:hAnsi="仿宋_GB2312" w:eastAsia="仿宋_GB2312"/>
                <w:b w:val="0"/>
                <w:sz w:val="18"/>
              </w:rPr>
              <w:t>商业秘密保护的基本法与配套实体、程序规定</w:t>
            </w:r>
          </w:p>
        </w:tc>
      </w:tr>
      <w:tr>
        <w:tc>
          <w:tcPr>
            <w:tcW w:type="dxa" w:w="1474"/>
          </w:tcPr>
          <w:p>
            <w:pPr>
              <w:spacing w:line="270" w:lineRule="exact"/>
            </w:pPr>
            <w:r/>
            <w:r>
              <w:rPr>
                <w:rFonts w:ascii="仿宋_GB2312" w:hAnsi="仿宋_GB2312" w:eastAsia="仿宋_GB2312"/>
                <w:b w:val="0"/>
                <w:sz w:val="18"/>
              </w:rPr>
              <w:t>行政法规</w:t>
            </w:r>
          </w:p>
        </w:tc>
        <w:tc>
          <w:tcPr>
            <w:tcW w:type="dxa" w:w="680"/>
          </w:tcPr>
          <w:p>
            <w:pPr>
              <w:spacing w:line="270" w:lineRule="exact"/>
            </w:pPr>
            <w:r/>
            <w:r>
              <w:rPr>
                <w:rFonts w:ascii="仿宋_GB2312" w:hAnsi="仿宋_GB2312" w:eastAsia="仿宋_GB2312"/>
                <w:b w:val="0"/>
                <w:sz w:val="18"/>
              </w:rPr>
              <w:t>1</w:t>
            </w:r>
          </w:p>
        </w:tc>
        <w:tc>
          <w:tcPr>
            <w:tcW w:type="dxa" w:w="4649"/>
          </w:tcPr>
          <w:p>
            <w:pPr>
              <w:spacing w:line="270" w:lineRule="exact"/>
            </w:pPr>
            <w:r/>
            <w:r>
              <w:rPr>
                <w:rFonts w:ascii="仿宋_GB2312" w:hAnsi="仿宋_GB2312" w:eastAsia="仿宋_GB2312"/>
                <w:b w:val="0"/>
                <w:sz w:val="18"/>
              </w:rPr>
              <w:t>技术进出口管理条例</w:t>
            </w:r>
          </w:p>
        </w:tc>
        <w:tc>
          <w:tcPr>
            <w:tcW w:type="dxa" w:w="2494"/>
          </w:tcPr>
          <w:p>
            <w:pPr>
              <w:spacing w:line="270" w:lineRule="exact"/>
            </w:pPr>
            <w:r/>
            <w:r>
              <w:rPr>
                <w:rFonts w:ascii="仿宋_GB2312" w:hAnsi="仿宋_GB2312" w:eastAsia="仿宋_GB2312"/>
                <w:b w:val="0"/>
                <w:sz w:val="18"/>
              </w:rPr>
              <w:t>技术秘密跨境转移管理</w:t>
            </w:r>
          </w:p>
        </w:tc>
      </w:tr>
      <w:tr>
        <w:tc>
          <w:tcPr>
            <w:tcW w:type="dxa" w:w="1474"/>
          </w:tcPr>
          <w:p>
            <w:pPr>
              <w:spacing w:line="270" w:lineRule="exact"/>
            </w:pPr>
            <w:r/>
            <w:r>
              <w:rPr>
                <w:rFonts w:ascii="仿宋_GB2312" w:hAnsi="仿宋_GB2312" w:eastAsia="仿宋_GB2312"/>
                <w:b w:val="0"/>
                <w:sz w:val="18"/>
              </w:rPr>
              <w:t>部门规章</w:t>
            </w:r>
          </w:p>
        </w:tc>
        <w:tc>
          <w:tcPr>
            <w:tcW w:type="dxa" w:w="680"/>
          </w:tcPr>
          <w:p>
            <w:pPr>
              <w:spacing w:line="270" w:lineRule="exact"/>
            </w:pPr>
            <w:r/>
            <w:r>
              <w:rPr>
                <w:rFonts w:ascii="仿宋_GB2312" w:hAnsi="仿宋_GB2312" w:eastAsia="仿宋_GB2312"/>
                <w:b w:val="0"/>
                <w:sz w:val="18"/>
              </w:rPr>
              <w:t>3</w:t>
            </w:r>
          </w:p>
        </w:tc>
        <w:tc>
          <w:tcPr>
            <w:tcW w:type="dxa" w:w="4649"/>
          </w:tcPr>
          <w:p>
            <w:pPr>
              <w:spacing w:line="270" w:lineRule="exact"/>
            </w:pPr>
            <w:r/>
            <w:r>
              <w:rPr>
                <w:rFonts w:ascii="仿宋_GB2312" w:hAnsi="仿宋_GB2312" w:eastAsia="仿宋_GB2312"/>
                <w:b w:val="0"/>
                <w:sz w:val="18"/>
              </w:rPr>
              <w:t>商业秘密保护规定（126号令）、网络反不正当竞争暂行规定（91号令）、中央企业商业秘密保护暂行规定（国资发〔2010〕41号）</w:t>
            </w:r>
          </w:p>
        </w:tc>
        <w:tc>
          <w:tcPr>
            <w:tcW w:type="dxa" w:w="2494"/>
          </w:tcPr>
          <w:p>
            <w:pPr>
              <w:spacing w:line="270" w:lineRule="exact"/>
            </w:pPr>
            <w:r/>
            <w:r>
              <w:rPr>
                <w:rFonts w:ascii="仿宋_GB2312" w:hAnsi="仿宋_GB2312" w:eastAsia="仿宋_GB2312"/>
                <w:b w:val="0"/>
                <w:sz w:val="18"/>
              </w:rPr>
              <w:t>行政保护专门规章与央企管理规范</w:t>
            </w:r>
          </w:p>
        </w:tc>
      </w:tr>
      <w:tr>
        <w:tc>
          <w:tcPr>
            <w:tcW w:type="dxa" w:w="1474"/>
          </w:tcPr>
          <w:p>
            <w:pPr>
              <w:spacing w:line="270" w:lineRule="exact"/>
            </w:pPr>
            <w:r/>
            <w:r>
              <w:rPr>
                <w:rFonts w:ascii="仿宋_GB2312" w:hAnsi="仿宋_GB2312" w:eastAsia="仿宋_GB2312"/>
                <w:b w:val="0"/>
                <w:sz w:val="18"/>
              </w:rPr>
              <w:t>司法解释</w:t>
            </w:r>
          </w:p>
        </w:tc>
        <w:tc>
          <w:tcPr>
            <w:tcW w:type="dxa" w:w="680"/>
          </w:tcPr>
          <w:p>
            <w:pPr>
              <w:spacing w:line="270" w:lineRule="exact"/>
            </w:pPr>
            <w:r/>
            <w:r>
              <w:rPr>
                <w:rFonts w:ascii="仿宋_GB2312" w:hAnsi="仿宋_GB2312" w:eastAsia="仿宋_GB2312"/>
                <w:b w:val="0"/>
                <w:sz w:val="18"/>
              </w:rPr>
              <w:t>5</w:t>
            </w:r>
          </w:p>
        </w:tc>
        <w:tc>
          <w:tcPr>
            <w:tcW w:type="dxa" w:w="4649"/>
          </w:tcPr>
          <w:p>
            <w:pPr>
              <w:spacing w:line="270" w:lineRule="exact"/>
            </w:pPr>
            <w:r/>
            <w:r>
              <w:rPr>
                <w:rFonts w:ascii="仿宋_GB2312" w:hAnsi="仿宋_GB2312" w:eastAsia="仿宋_GB2312"/>
                <w:b w:val="0"/>
                <w:sz w:val="18"/>
              </w:rPr>
              <w:t>法释〔2020〕7号、法释〔2025〕5号、法释〔2022〕9号、法释〔2020〕12号、法释〔2021〕1号</w:t>
            </w:r>
          </w:p>
        </w:tc>
        <w:tc>
          <w:tcPr>
            <w:tcW w:type="dxa" w:w="2494"/>
          </w:tcPr>
          <w:p>
            <w:pPr>
              <w:spacing w:line="270" w:lineRule="exact"/>
            </w:pPr>
            <w:r/>
            <w:r>
              <w:rPr>
                <w:rFonts w:ascii="仿宋_GB2312" w:hAnsi="仿宋_GB2312" w:eastAsia="仿宋_GB2312"/>
                <w:b w:val="0"/>
                <w:sz w:val="18"/>
              </w:rPr>
              <w:t>民事、刑事、证据与程序规则的司法适用标准</w:t>
            </w:r>
          </w:p>
        </w:tc>
      </w:tr>
      <w:tr>
        <w:tc>
          <w:tcPr>
            <w:tcW w:type="dxa" w:w="1474"/>
          </w:tcPr>
          <w:p>
            <w:pPr>
              <w:spacing w:line="270" w:lineRule="exact"/>
            </w:pPr>
            <w:r/>
            <w:r>
              <w:rPr>
                <w:rFonts w:ascii="仿宋_GB2312" w:hAnsi="仿宋_GB2312" w:eastAsia="仿宋_GB2312"/>
                <w:b w:val="0"/>
                <w:sz w:val="18"/>
              </w:rPr>
              <w:t>司法文件与规范性文件</w:t>
            </w:r>
          </w:p>
        </w:tc>
        <w:tc>
          <w:tcPr>
            <w:tcW w:type="dxa" w:w="680"/>
          </w:tcPr>
          <w:p>
            <w:pPr>
              <w:spacing w:line="270" w:lineRule="exact"/>
            </w:pPr>
            <w:r/>
            <w:r>
              <w:rPr>
                <w:rFonts w:ascii="仿宋_GB2312" w:hAnsi="仿宋_GB2312" w:eastAsia="仿宋_GB2312"/>
                <w:b w:val="0"/>
                <w:sz w:val="18"/>
              </w:rPr>
              <w:t>2</w:t>
            </w:r>
          </w:p>
        </w:tc>
        <w:tc>
          <w:tcPr>
            <w:tcW w:type="dxa" w:w="4649"/>
          </w:tcPr>
          <w:p>
            <w:pPr>
              <w:spacing w:line="270" w:lineRule="exact"/>
            </w:pPr>
            <w:r/>
            <w:r>
              <w:rPr>
                <w:rFonts w:ascii="仿宋_GB2312" w:hAnsi="仿宋_GB2312" w:eastAsia="仿宋_GB2312"/>
                <w:b w:val="0"/>
                <w:sz w:val="18"/>
              </w:rPr>
              <w:t>立案追诉标准（二）（2022版）、高检发〔2020〕15号决定</w:t>
            </w:r>
          </w:p>
        </w:tc>
        <w:tc>
          <w:tcPr>
            <w:tcW w:type="dxa" w:w="2494"/>
          </w:tcPr>
          <w:p>
            <w:pPr>
              <w:spacing w:line="270" w:lineRule="exact"/>
            </w:pPr>
            <w:r/>
            <w:r>
              <w:rPr>
                <w:rFonts w:ascii="仿宋_GB2312" w:hAnsi="仿宋_GB2312" w:eastAsia="仿宋_GB2312"/>
                <w:b w:val="0"/>
                <w:sz w:val="18"/>
              </w:rPr>
              <w:t>刑事立案追诉操作标准</w:t>
            </w:r>
          </w:p>
        </w:tc>
      </w:tr>
      <w:tr>
        <w:tc>
          <w:tcPr>
            <w:tcW w:type="dxa" w:w="1474"/>
          </w:tcPr>
          <w:p>
            <w:pPr>
              <w:spacing w:line="270" w:lineRule="exact"/>
            </w:pPr>
            <w:r/>
            <w:r>
              <w:rPr>
                <w:rFonts w:ascii="仿宋_GB2312" w:hAnsi="仿宋_GB2312" w:eastAsia="仿宋_GB2312"/>
                <w:b w:val="0"/>
                <w:sz w:val="18"/>
              </w:rPr>
              <w:t>地方性法规</w:t>
            </w:r>
          </w:p>
        </w:tc>
        <w:tc>
          <w:tcPr>
            <w:tcW w:type="dxa" w:w="680"/>
          </w:tcPr>
          <w:p>
            <w:pPr>
              <w:spacing w:line="270" w:lineRule="exact"/>
            </w:pPr>
            <w:r/>
            <w:r>
              <w:rPr>
                <w:rFonts w:ascii="仿宋_GB2312" w:hAnsi="仿宋_GB2312" w:eastAsia="仿宋_GB2312"/>
                <w:b w:val="0"/>
                <w:sz w:val="18"/>
              </w:rPr>
              <w:t>1</w:t>
            </w:r>
          </w:p>
        </w:tc>
        <w:tc>
          <w:tcPr>
            <w:tcW w:type="dxa" w:w="4649"/>
          </w:tcPr>
          <w:p>
            <w:pPr>
              <w:spacing w:line="270" w:lineRule="exact"/>
            </w:pPr>
            <w:r/>
            <w:r>
              <w:rPr>
                <w:rFonts w:ascii="仿宋_GB2312" w:hAnsi="仿宋_GB2312" w:eastAsia="仿宋_GB2312"/>
                <w:b w:val="0"/>
                <w:sz w:val="18"/>
              </w:rPr>
              <w:t>深圳经济特区企业技术秘密保护条例（2019修正）</w:t>
            </w:r>
          </w:p>
        </w:tc>
        <w:tc>
          <w:tcPr>
            <w:tcW w:type="dxa" w:w="2494"/>
          </w:tcPr>
          <w:p>
            <w:pPr>
              <w:spacing w:line="270" w:lineRule="exact"/>
            </w:pPr>
            <w:r/>
            <w:r>
              <w:rPr>
                <w:rFonts w:ascii="仿宋_GB2312" w:hAnsi="仿宋_GB2312" w:eastAsia="仿宋_GB2312"/>
                <w:b w:val="0"/>
                <w:sz w:val="18"/>
              </w:rPr>
              <w:t>地方专门立法样本</w:t>
            </w:r>
          </w:p>
        </w:tc>
      </w:tr>
      <w:tr>
        <w:tc>
          <w:tcPr>
            <w:tcW w:type="dxa" w:w="1474"/>
          </w:tcPr>
          <w:p>
            <w:pPr>
              <w:spacing w:line="270" w:lineRule="exact"/>
            </w:pPr>
            <w:r/>
            <w:r>
              <w:rPr>
                <w:rFonts w:ascii="仿宋_GB2312" w:hAnsi="仿宋_GB2312" w:eastAsia="仿宋_GB2312"/>
                <w:b w:val="0"/>
                <w:sz w:val="18"/>
              </w:rPr>
              <w:t>国家标准</w:t>
            </w:r>
          </w:p>
        </w:tc>
        <w:tc>
          <w:tcPr>
            <w:tcW w:type="dxa" w:w="680"/>
          </w:tcPr>
          <w:p>
            <w:pPr>
              <w:spacing w:line="270" w:lineRule="exact"/>
            </w:pPr>
            <w:r/>
            <w:r>
              <w:rPr>
                <w:rFonts w:ascii="仿宋_GB2312" w:hAnsi="仿宋_GB2312" w:eastAsia="仿宋_GB2312"/>
                <w:b w:val="0"/>
                <w:sz w:val="18"/>
              </w:rPr>
              <w:t>1</w:t>
            </w:r>
          </w:p>
        </w:tc>
        <w:tc>
          <w:tcPr>
            <w:tcW w:type="dxa" w:w="4649"/>
          </w:tcPr>
          <w:p>
            <w:pPr>
              <w:spacing w:line="270" w:lineRule="exact"/>
            </w:pPr>
            <w:r/>
            <w:r>
              <w:rPr>
                <w:rFonts w:ascii="仿宋_GB2312" w:hAnsi="仿宋_GB2312" w:eastAsia="仿宋_GB2312"/>
                <w:b w:val="0"/>
                <w:sz w:val="18"/>
              </w:rPr>
              <w:t>GB/T 29490-2023 企业知识产权合规管理体系 要求</w:t>
            </w:r>
          </w:p>
        </w:tc>
        <w:tc>
          <w:tcPr>
            <w:tcW w:type="dxa" w:w="2494"/>
          </w:tcPr>
          <w:p>
            <w:pPr>
              <w:spacing w:line="270" w:lineRule="exact"/>
            </w:pPr>
            <w:r/>
            <w:r>
              <w:rPr>
                <w:rFonts w:ascii="仿宋_GB2312" w:hAnsi="仿宋_GB2312" w:eastAsia="仿宋_GB2312"/>
                <w:b w:val="0"/>
                <w:sz w:val="18"/>
              </w:rPr>
              <w:t>企业合规管理推荐性国标</w:t>
            </w:r>
          </w:p>
        </w:tc>
      </w:tr>
    </w:tbl>
    <w:p>
      <w:pPr>
        <w:spacing w:after="40"/>
      </w:pPr>
    </w:p>
    <w:p>
      <w:pPr>
        <w:spacing w:line="600" w:lineRule="exact" w:after="160"/>
      </w:pPr>
      <w:r>
        <w:rPr>
          <w:rFonts w:ascii="黑体" w:hAnsi="黑体" w:eastAsia="黑体"/>
          <w:b w:val="0"/>
          <w:sz w:val="30"/>
        </w:rPr>
        <w:t>三、分层级法源清单（效力状态一览）</w:t>
      </w:r>
    </w:p>
    <w:p>
      <w:pPr>
        <w:spacing w:line="560" w:lineRule="exact" w:after="120"/>
        <w:ind w:firstLine="440"/>
      </w:pPr>
      <w:r>
        <w:rPr>
          <w:rFonts w:ascii="仿宋_GB2312" w:hAnsi="仿宋_GB2312" w:eastAsia="仿宋_GB2312"/>
          <w:b w:val="0"/>
          <w:sz w:val="22"/>
        </w:rPr>
        <w:t>下表所列文号、日期、施行时间均经一手文本核证；标注〔待核证〕处为存档文本未载明、尚需二次确认的信息。</w:t>
      </w:r>
    </w:p>
    <w:tbl>
      <w:tblPr>
        <w:tblStyle w:val="TableGrid"/>
        <w:tblW w:type="auto" w:w="0"/>
        <w:jc w:val="center"/>
        <w:tblLook w:firstColumn="1" w:firstRow="1" w:lastColumn="0" w:lastRow="0" w:noHBand="0" w:noVBand="1" w:val="04A0"/>
      </w:tblPr>
      <w:tblGrid>
        <w:gridCol w:w="1746"/>
        <w:gridCol w:w="1746"/>
        <w:gridCol w:w="1746"/>
        <w:gridCol w:w="1746"/>
        <w:gridCol w:w="1746"/>
      </w:tblGrid>
      <w:tr>
        <w:tc>
          <w:tcPr>
            <w:tcW w:type="dxa" w:w="1077"/>
          </w:tcPr>
          <w:p>
            <w:pPr>
              <w:jc w:val="center"/>
            </w:pPr>
            <w:r/>
            <w:r>
              <w:rPr>
                <w:rFonts w:ascii="黑体" w:hAnsi="黑体" w:eastAsia="黑体"/>
                <w:b/>
                <w:sz w:val="16"/>
              </w:rPr>
              <w:t>层级</w:t>
            </w:r>
          </w:p>
        </w:tc>
        <w:tc>
          <w:tcPr>
            <w:tcW w:type="dxa" w:w="2948"/>
          </w:tcPr>
          <w:p>
            <w:pPr>
              <w:jc w:val="center"/>
            </w:pPr>
            <w:r/>
            <w:r>
              <w:rPr>
                <w:rFonts w:ascii="黑体" w:hAnsi="黑体" w:eastAsia="黑体"/>
                <w:b/>
                <w:sz w:val="16"/>
              </w:rPr>
              <w:t>法源名称</w:t>
            </w:r>
          </w:p>
        </w:tc>
        <w:tc>
          <w:tcPr>
            <w:tcW w:type="dxa" w:w="1928"/>
          </w:tcPr>
          <w:p>
            <w:pPr>
              <w:jc w:val="center"/>
            </w:pPr>
            <w:r/>
            <w:r>
              <w:rPr>
                <w:rFonts w:ascii="黑体" w:hAnsi="黑体" w:eastAsia="黑体"/>
                <w:b/>
                <w:sz w:val="16"/>
              </w:rPr>
              <w:t>文号/版本</w:t>
            </w:r>
          </w:p>
        </w:tc>
        <w:tc>
          <w:tcPr>
            <w:tcW w:type="dxa" w:w="1531"/>
          </w:tcPr>
          <w:p>
            <w:pPr>
              <w:jc w:val="center"/>
            </w:pPr>
            <w:r/>
            <w:r>
              <w:rPr>
                <w:rFonts w:ascii="黑体" w:hAnsi="黑体" w:eastAsia="黑体"/>
                <w:b/>
                <w:sz w:val="16"/>
              </w:rPr>
              <w:t>施行</w:t>
            </w:r>
          </w:p>
        </w:tc>
        <w:tc>
          <w:tcPr>
            <w:tcW w:type="dxa" w:w="1587"/>
          </w:tcPr>
          <w:p>
            <w:pPr>
              <w:jc w:val="center"/>
            </w:pPr>
            <w:r/>
            <w:r>
              <w:rPr>
                <w:rFonts w:ascii="黑体" w:hAnsi="黑体" w:eastAsia="黑体"/>
                <w:b/>
                <w:sz w:val="16"/>
              </w:rPr>
              <w:t>效力状态</w:t>
            </w:r>
          </w:p>
        </w:tc>
      </w:tr>
      <w:tr>
        <w:tc>
          <w:tcPr>
            <w:tcW w:type="dxa" w:w="1077"/>
          </w:tcPr>
          <w:p>
            <w:pPr>
              <w:spacing w:line="240" w:lineRule="exact"/>
            </w:pPr>
            <w:r/>
            <w:r>
              <w:rPr>
                <w:rFonts w:ascii="仿宋_GB2312" w:hAnsi="仿宋_GB2312" w:eastAsia="仿宋_GB2312"/>
                <w:b w:val="0"/>
                <w:sz w:val="16"/>
              </w:rPr>
              <w:t>法律</w:t>
            </w:r>
          </w:p>
        </w:tc>
        <w:tc>
          <w:tcPr>
            <w:tcW w:type="dxa" w:w="2948"/>
          </w:tcPr>
          <w:p>
            <w:pPr>
              <w:spacing w:line="240" w:lineRule="exact"/>
            </w:pPr>
            <w:r/>
            <w:r>
              <w:rPr>
                <w:rFonts w:ascii="仿宋_GB2312" w:hAnsi="仿宋_GB2312" w:eastAsia="仿宋_GB2312"/>
                <w:b w:val="0"/>
                <w:sz w:val="16"/>
              </w:rPr>
              <w:t>中华人民共和国反不正当竞争法（2025修订）</w:t>
            </w:r>
          </w:p>
        </w:tc>
        <w:tc>
          <w:tcPr>
            <w:tcW w:type="dxa" w:w="1928"/>
          </w:tcPr>
          <w:p>
            <w:pPr>
              <w:spacing w:line="240" w:lineRule="exact"/>
            </w:pPr>
            <w:r/>
            <w:r>
              <w:rPr>
                <w:rFonts w:ascii="仿宋_GB2312" w:hAnsi="仿宋_GB2312" w:eastAsia="仿宋_GB2312"/>
                <w:b w:val="0"/>
                <w:sz w:val="16"/>
              </w:rPr>
              <w:t>主席令第五十号</w:t>
            </w:r>
          </w:p>
        </w:tc>
        <w:tc>
          <w:tcPr>
            <w:tcW w:type="dxa" w:w="1531"/>
          </w:tcPr>
          <w:p>
            <w:pPr>
              <w:spacing w:line="240" w:lineRule="exact"/>
            </w:pPr>
            <w:r/>
            <w:r>
              <w:rPr>
                <w:rFonts w:ascii="仿宋_GB2312" w:hAnsi="仿宋_GB2312" w:eastAsia="仿宋_GB2312"/>
                <w:b w:val="0"/>
                <w:sz w:val="16"/>
              </w:rPr>
              <w:t>2025-10-15</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法律</w:t>
            </w:r>
          </w:p>
        </w:tc>
        <w:tc>
          <w:tcPr>
            <w:tcW w:type="dxa" w:w="2948"/>
          </w:tcPr>
          <w:p>
            <w:pPr>
              <w:spacing w:line="240" w:lineRule="exact"/>
            </w:pPr>
            <w:r/>
            <w:r>
              <w:rPr>
                <w:rFonts w:ascii="仿宋_GB2312" w:hAnsi="仿宋_GB2312" w:eastAsia="仿宋_GB2312"/>
                <w:b w:val="0"/>
                <w:sz w:val="16"/>
              </w:rPr>
              <w:t>中华人民共和国刑法（2020修正）</w:t>
            </w:r>
          </w:p>
        </w:tc>
        <w:tc>
          <w:tcPr>
            <w:tcW w:type="dxa" w:w="1928"/>
          </w:tcPr>
          <w:p>
            <w:pPr>
              <w:spacing w:line="240" w:lineRule="exact"/>
            </w:pPr>
            <w:r/>
            <w:r>
              <w:rPr>
                <w:rFonts w:ascii="仿宋_GB2312" w:hAnsi="仿宋_GB2312" w:eastAsia="仿宋_GB2312"/>
                <w:b w:val="0"/>
                <w:sz w:val="16"/>
              </w:rPr>
              <w:t>刑法修正案（十一）</w:t>
            </w:r>
          </w:p>
        </w:tc>
        <w:tc>
          <w:tcPr>
            <w:tcW w:type="dxa" w:w="1531"/>
          </w:tcPr>
          <w:p>
            <w:pPr>
              <w:spacing w:line="240" w:lineRule="exact"/>
            </w:pPr>
            <w:r/>
            <w:r>
              <w:rPr>
                <w:rFonts w:ascii="仿宋_GB2312" w:hAnsi="仿宋_GB2312" w:eastAsia="仿宋_GB2312"/>
                <w:b w:val="0"/>
                <w:sz w:val="16"/>
              </w:rPr>
              <w:t>2021-03-01（修正案十一）</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法律</w:t>
            </w:r>
          </w:p>
        </w:tc>
        <w:tc>
          <w:tcPr>
            <w:tcW w:type="dxa" w:w="2948"/>
          </w:tcPr>
          <w:p>
            <w:pPr>
              <w:spacing w:line="240" w:lineRule="exact"/>
            </w:pPr>
            <w:r/>
            <w:r>
              <w:rPr>
                <w:rFonts w:ascii="仿宋_GB2312" w:hAnsi="仿宋_GB2312" w:eastAsia="仿宋_GB2312"/>
                <w:b w:val="0"/>
                <w:sz w:val="16"/>
              </w:rPr>
              <w:t>中华人民共和国民法典</w:t>
            </w:r>
          </w:p>
        </w:tc>
        <w:tc>
          <w:tcPr>
            <w:tcW w:type="dxa" w:w="1928"/>
          </w:tcPr>
          <w:p>
            <w:pPr>
              <w:spacing w:line="240" w:lineRule="exact"/>
            </w:pPr>
            <w:r/>
            <w:r>
              <w:rPr>
                <w:rFonts w:ascii="仿宋_GB2312" w:hAnsi="仿宋_GB2312" w:eastAsia="仿宋_GB2312"/>
                <w:b w:val="0"/>
                <w:sz w:val="16"/>
              </w:rPr>
              <w:t>—</w:t>
            </w:r>
          </w:p>
        </w:tc>
        <w:tc>
          <w:tcPr>
            <w:tcW w:type="dxa" w:w="1531"/>
          </w:tcPr>
          <w:p>
            <w:pPr>
              <w:spacing w:line="240" w:lineRule="exact"/>
            </w:pPr>
            <w:r/>
            <w:r>
              <w:rPr>
                <w:rFonts w:ascii="仿宋_GB2312" w:hAnsi="仿宋_GB2312" w:eastAsia="仿宋_GB2312"/>
                <w:b w:val="0"/>
                <w:sz w:val="16"/>
              </w:rPr>
              <w:t>2021-01-01</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法律</w:t>
            </w:r>
          </w:p>
        </w:tc>
        <w:tc>
          <w:tcPr>
            <w:tcW w:type="dxa" w:w="2948"/>
          </w:tcPr>
          <w:p>
            <w:pPr>
              <w:spacing w:line="240" w:lineRule="exact"/>
            </w:pPr>
            <w:r/>
            <w:r>
              <w:rPr>
                <w:rFonts w:ascii="仿宋_GB2312" w:hAnsi="仿宋_GB2312" w:eastAsia="仿宋_GB2312"/>
                <w:b w:val="0"/>
                <w:sz w:val="16"/>
              </w:rPr>
              <w:t>中华人民共和国劳动合同法（2012修正）</w:t>
            </w:r>
          </w:p>
        </w:tc>
        <w:tc>
          <w:tcPr>
            <w:tcW w:type="dxa" w:w="1928"/>
          </w:tcPr>
          <w:p>
            <w:pPr>
              <w:spacing w:line="240" w:lineRule="exact"/>
            </w:pPr>
            <w:r/>
            <w:r>
              <w:rPr>
                <w:rFonts w:ascii="仿宋_GB2312" w:hAnsi="仿宋_GB2312" w:eastAsia="仿宋_GB2312"/>
                <w:b w:val="0"/>
                <w:sz w:val="16"/>
              </w:rPr>
              <w:t>—</w:t>
            </w:r>
          </w:p>
        </w:tc>
        <w:tc>
          <w:tcPr>
            <w:tcW w:type="dxa" w:w="1531"/>
          </w:tcPr>
          <w:p>
            <w:pPr>
              <w:spacing w:line="240" w:lineRule="exact"/>
            </w:pPr>
            <w:r/>
            <w:r>
              <w:rPr>
                <w:rFonts w:ascii="仿宋_GB2312" w:hAnsi="仿宋_GB2312" w:eastAsia="仿宋_GB2312"/>
                <w:b w:val="0"/>
                <w:sz w:val="16"/>
              </w:rPr>
              <w:t>原法2008-01-01</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法律</w:t>
            </w:r>
          </w:p>
        </w:tc>
        <w:tc>
          <w:tcPr>
            <w:tcW w:type="dxa" w:w="2948"/>
          </w:tcPr>
          <w:p>
            <w:pPr>
              <w:spacing w:line="240" w:lineRule="exact"/>
            </w:pPr>
            <w:r/>
            <w:r>
              <w:rPr>
                <w:rFonts w:ascii="仿宋_GB2312" w:hAnsi="仿宋_GB2312" w:eastAsia="仿宋_GB2312"/>
                <w:b w:val="0"/>
                <w:sz w:val="16"/>
              </w:rPr>
              <w:t>中华人民共和国劳动法（2018修正）</w:t>
            </w:r>
          </w:p>
        </w:tc>
        <w:tc>
          <w:tcPr>
            <w:tcW w:type="dxa" w:w="1928"/>
          </w:tcPr>
          <w:p>
            <w:pPr>
              <w:spacing w:line="240" w:lineRule="exact"/>
            </w:pPr>
            <w:r/>
            <w:r>
              <w:rPr>
                <w:rFonts w:ascii="仿宋_GB2312" w:hAnsi="仿宋_GB2312" w:eastAsia="仿宋_GB2312"/>
                <w:b w:val="0"/>
                <w:sz w:val="16"/>
              </w:rPr>
              <w:t>—</w:t>
            </w:r>
          </w:p>
        </w:tc>
        <w:tc>
          <w:tcPr>
            <w:tcW w:type="dxa" w:w="1531"/>
          </w:tcPr>
          <w:p>
            <w:pPr>
              <w:spacing w:line="240" w:lineRule="exact"/>
            </w:pPr>
            <w:r/>
            <w:r>
              <w:rPr>
                <w:rFonts w:ascii="仿宋_GB2312" w:hAnsi="仿宋_GB2312" w:eastAsia="仿宋_GB2312"/>
                <w:b w:val="0"/>
                <w:sz w:val="16"/>
              </w:rPr>
              <w:t>原法1995-01-01</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法律</w:t>
            </w:r>
          </w:p>
        </w:tc>
        <w:tc>
          <w:tcPr>
            <w:tcW w:type="dxa" w:w="2948"/>
          </w:tcPr>
          <w:p>
            <w:pPr>
              <w:spacing w:line="240" w:lineRule="exact"/>
            </w:pPr>
            <w:r/>
            <w:r>
              <w:rPr>
                <w:rFonts w:ascii="仿宋_GB2312" w:hAnsi="仿宋_GB2312" w:eastAsia="仿宋_GB2312"/>
                <w:b w:val="0"/>
                <w:sz w:val="16"/>
              </w:rPr>
              <w:t>中华人民共和国公司法（2023修订）</w:t>
            </w:r>
          </w:p>
        </w:tc>
        <w:tc>
          <w:tcPr>
            <w:tcW w:type="dxa" w:w="1928"/>
          </w:tcPr>
          <w:p>
            <w:pPr>
              <w:spacing w:line="240" w:lineRule="exact"/>
            </w:pPr>
            <w:r/>
            <w:r>
              <w:rPr>
                <w:rFonts w:ascii="仿宋_GB2312" w:hAnsi="仿宋_GB2312" w:eastAsia="仿宋_GB2312"/>
                <w:b w:val="0"/>
                <w:sz w:val="16"/>
              </w:rPr>
              <w:t>主席令第十五号</w:t>
            </w:r>
          </w:p>
        </w:tc>
        <w:tc>
          <w:tcPr>
            <w:tcW w:type="dxa" w:w="1531"/>
          </w:tcPr>
          <w:p>
            <w:pPr>
              <w:spacing w:line="240" w:lineRule="exact"/>
            </w:pPr>
            <w:r/>
            <w:r>
              <w:rPr>
                <w:rFonts w:ascii="仿宋_GB2312" w:hAnsi="仿宋_GB2312" w:eastAsia="仿宋_GB2312"/>
                <w:b w:val="0"/>
                <w:sz w:val="16"/>
              </w:rPr>
              <w:t>2024-07-01</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法律</w:t>
            </w:r>
          </w:p>
        </w:tc>
        <w:tc>
          <w:tcPr>
            <w:tcW w:type="dxa" w:w="2948"/>
          </w:tcPr>
          <w:p>
            <w:pPr>
              <w:spacing w:line="240" w:lineRule="exact"/>
            </w:pPr>
            <w:r/>
            <w:r>
              <w:rPr>
                <w:rFonts w:ascii="仿宋_GB2312" w:hAnsi="仿宋_GB2312" w:eastAsia="仿宋_GB2312"/>
                <w:b w:val="0"/>
                <w:sz w:val="16"/>
              </w:rPr>
              <w:t>中华人民共和国民事诉讼法（2023修正）</w:t>
            </w:r>
          </w:p>
        </w:tc>
        <w:tc>
          <w:tcPr>
            <w:tcW w:type="dxa" w:w="1928"/>
          </w:tcPr>
          <w:p>
            <w:pPr>
              <w:spacing w:line="240" w:lineRule="exact"/>
            </w:pPr>
            <w:r/>
            <w:r>
              <w:rPr>
                <w:rFonts w:ascii="仿宋_GB2312" w:hAnsi="仿宋_GB2312" w:eastAsia="仿宋_GB2312"/>
                <w:b w:val="0"/>
                <w:sz w:val="16"/>
              </w:rPr>
              <w:t>—</w:t>
            </w:r>
          </w:p>
        </w:tc>
        <w:tc>
          <w:tcPr>
            <w:tcW w:type="dxa" w:w="1531"/>
          </w:tcPr>
          <w:p>
            <w:pPr>
              <w:spacing w:line="240" w:lineRule="exact"/>
            </w:pPr>
            <w:r/>
            <w:r>
              <w:rPr>
                <w:rFonts w:ascii="仿宋_GB2312" w:hAnsi="仿宋_GB2312" w:eastAsia="仿宋_GB2312"/>
                <w:b w:val="0"/>
                <w:sz w:val="16"/>
              </w:rPr>
              <w:t>修正自2024-01-01施行〔待核证：公报全文未重述，依全国人大常委会决定〕</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法律</w:t>
            </w:r>
          </w:p>
        </w:tc>
        <w:tc>
          <w:tcPr>
            <w:tcW w:type="dxa" w:w="2948"/>
          </w:tcPr>
          <w:p>
            <w:pPr>
              <w:spacing w:line="240" w:lineRule="exact"/>
            </w:pPr>
            <w:r/>
            <w:r>
              <w:rPr>
                <w:rFonts w:ascii="仿宋_GB2312" w:hAnsi="仿宋_GB2312" w:eastAsia="仿宋_GB2312"/>
                <w:b w:val="0"/>
                <w:sz w:val="16"/>
              </w:rPr>
              <w:t>中华人民共和国刑事诉讼法（2018修正）</w:t>
            </w:r>
          </w:p>
        </w:tc>
        <w:tc>
          <w:tcPr>
            <w:tcW w:type="dxa" w:w="1928"/>
          </w:tcPr>
          <w:p>
            <w:pPr>
              <w:spacing w:line="240" w:lineRule="exact"/>
            </w:pPr>
            <w:r/>
            <w:r>
              <w:rPr>
                <w:rFonts w:ascii="仿宋_GB2312" w:hAnsi="仿宋_GB2312" w:eastAsia="仿宋_GB2312"/>
                <w:b w:val="0"/>
                <w:sz w:val="16"/>
              </w:rPr>
              <w:t>—</w:t>
            </w:r>
          </w:p>
        </w:tc>
        <w:tc>
          <w:tcPr>
            <w:tcW w:type="dxa" w:w="1531"/>
          </w:tcPr>
          <w:p>
            <w:pPr>
              <w:spacing w:line="240" w:lineRule="exact"/>
            </w:pPr>
            <w:r/>
            <w:r>
              <w:rPr>
                <w:rFonts w:ascii="仿宋_GB2312" w:hAnsi="仿宋_GB2312" w:eastAsia="仿宋_GB2312"/>
                <w:b w:val="0"/>
                <w:sz w:val="16"/>
              </w:rPr>
              <w:t>—</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法律</w:t>
            </w:r>
          </w:p>
        </w:tc>
        <w:tc>
          <w:tcPr>
            <w:tcW w:type="dxa" w:w="2948"/>
          </w:tcPr>
          <w:p>
            <w:pPr>
              <w:spacing w:line="240" w:lineRule="exact"/>
            </w:pPr>
            <w:r/>
            <w:r>
              <w:rPr>
                <w:rFonts w:ascii="仿宋_GB2312" w:hAnsi="仿宋_GB2312" w:eastAsia="仿宋_GB2312"/>
                <w:b w:val="0"/>
                <w:sz w:val="16"/>
              </w:rPr>
              <w:t>中华人民共和国行政诉讼法（2017修正）</w:t>
            </w:r>
          </w:p>
        </w:tc>
        <w:tc>
          <w:tcPr>
            <w:tcW w:type="dxa" w:w="1928"/>
          </w:tcPr>
          <w:p>
            <w:pPr>
              <w:spacing w:line="240" w:lineRule="exact"/>
            </w:pPr>
            <w:r/>
            <w:r>
              <w:rPr>
                <w:rFonts w:ascii="仿宋_GB2312" w:hAnsi="仿宋_GB2312" w:eastAsia="仿宋_GB2312"/>
                <w:b w:val="0"/>
                <w:sz w:val="16"/>
              </w:rPr>
              <w:t>—</w:t>
            </w:r>
          </w:p>
        </w:tc>
        <w:tc>
          <w:tcPr>
            <w:tcW w:type="dxa" w:w="1531"/>
          </w:tcPr>
          <w:p>
            <w:pPr>
              <w:spacing w:line="240" w:lineRule="exact"/>
            </w:pPr>
            <w:r/>
            <w:r>
              <w:rPr>
                <w:rFonts w:ascii="仿宋_GB2312" w:hAnsi="仿宋_GB2312" w:eastAsia="仿宋_GB2312"/>
                <w:b w:val="0"/>
                <w:sz w:val="16"/>
              </w:rPr>
              <w:t>—</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法律</w:t>
            </w:r>
          </w:p>
        </w:tc>
        <w:tc>
          <w:tcPr>
            <w:tcW w:type="dxa" w:w="2948"/>
          </w:tcPr>
          <w:p>
            <w:pPr>
              <w:spacing w:line="240" w:lineRule="exact"/>
            </w:pPr>
            <w:r/>
            <w:r>
              <w:rPr>
                <w:rFonts w:ascii="仿宋_GB2312" w:hAnsi="仿宋_GB2312" w:eastAsia="仿宋_GB2312"/>
                <w:b w:val="0"/>
                <w:sz w:val="16"/>
              </w:rPr>
              <w:t>中华人民共和国促进科技成果转化法（2015修正）</w:t>
            </w:r>
          </w:p>
        </w:tc>
        <w:tc>
          <w:tcPr>
            <w:tcW w:type="dxa" w:w="1928"/>
          </w:tcPr>
          <w:p>
            <w:pPr>
              <w:spacing w:line="240" w:lineRule="exact"/>
            </w:pPr>
            <w:r/>
            <w:r>
              <w:rPr>
                <w:rFonts w:ascii="仿宋_GB2312" w:hAnsi="仿宋_GB2312" w:eastAsia="仿宋_GB2312"/>
                <w:b w:val="0"/>
                <w:sz w:val="16"/>
              </w:rPr>
              <w:t>—</w:t>
            </w:r>
          </w:p>
        </w:tc>
        <w:tc>
          <w:tcPr>
            <w:tcW w:type="dxa" w:w="1531"/>
          </w:tcPr>
          <w:p>
            <w:pPr>
              <w:spacing w:line="240" w:lineRule="exact"/>
            </w:pPr>
            <w:r/>
            <w:r>
              <w:rPr>
                <w:rFonts w:ascii="仿宋_GB2312" w:hAnsi="仿宋_GB2312" w:eastAsia="仿宋_GB2312"/>
                <w:b w:val="0"/>
                <w:sz w:val="16"/>
              </w:rPr>
              <w:t>原法1996-10-01</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法律</w:t>
            </w:r>
          </w:p>
        </w:tc>
        <w:tc>
          <w:tcPr>
            <w:tcW w:type="dxa" w:w="2948"/>
          </w:tcPr>
          <w:p>
            <w:pPr>
              <w:spacing w:line="240" w:lineRule="exact"/>
            </w:pPr>
            <w:r/>
            <w:r>
              <w:rPr>
                <w:rFonts w:ascii="仿宋_GB2312" w:hAnsi="仿宋_GB2312" w:eastAsia="仿宋_GB2312"/>
                <w:b w:val="0"/>
                <w:sz w:val="16"/>
              </w:rPr>
              <w:t>中华人民共和国科学技术进步法（2021修订）</w:t>
            </w:r>
          </w:p>
        </w:tc>
        <w:tc>
          <w:tcPr>
            <w:tcW w:type="dxa" w:w="1928"/>
          </w:tcPr>
          <w:p>
            <w:pPr>
              <w:spacing w:line="240" w:lineRule="exact"/>
            </w:pPr>
            <w:r/>
            <w:r>
              <w:rPr>
                <w:rFonts w:ascii="仿宋_GB2312" w:hAnsi="仿宋_GB2312" w:eastAsia="仿宋_GB2312"/>
                <w:b w:val="0"/>
                <w:sz w:val="16"/>
              </w:rPr>
              <w:t>主席令第一〇三号</w:t>
            </w:r>
          </w:p>
        </w:tc>
        <w:tc>
          <w:tcPr>
            <w:tcW w:type="dxa" w:w="1531"/>
          </w:tcPr>
          <w:p>
            <w:pPr>
              <w:spacing w:line="240" w:lineRule="exact"/>
            </w:pPr>
            <w:r/>
            <w:r>
              <w:rPr>
                <w:rFonts w:ascii="仿宋_GB2312" w:hAnsi="仿宋_GB2312" w:eastAsia="仿宋_GB2312"/>
                <w:b w:val="0"/>
                <w:sz w:val="16"/>
              </w:rPr>
              <w:t>2022-01-01</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法律</w:t>
            </w:r>
          </w:p>
        </w:tc>
        <w:tc>
          <w:tcPr>
            <w:tcW w:type="dxa" w:w="2948"/>
          </w:tcPr>
          <w:p>
            <w:pPr>
              <w:spacing w:line="240" w:lineRule="exact"/>
            </w:pPr>
            <w:r/>
            <w:r>
              <w:rPr>
                <w:rFonts w:ascii="仿宋_GB2312" w:hAnsi="仿宋_GB2312" w:eastAsia="仿宋_GB2312"/>
                <w:b w:val="0"/>
                <w:sz w:val="16"/>
              </w:rPr>
              <w:t>中华人民共和国律师法（2017修正）</w:t>
            </w:r>
          </w:p>
        </w:tc>
        <w:tc>
          <w:tcPr>
            <w:tcW w:type="dxa" w:w="1928"/>
          </w:tcPr>
          <w:p>
            <w:pPr>
              <w:spacing w:line="240" w:lineRule="exact"/>
            </w:pPr>
            <w:r/>
            <w:r>
              <w:rPr>
                <w:rFonts w:ascii="仿宋_GB2312" w:hAnsi="仿宋_GB2312" w:eastAsia="仿宋_GB2312"/>
                <w:b w:val="0"/>
                <w:sz w:val="16"/>
              </w:rPr>
              <w:t>—</w:t>
            </w:r>
          </w:p>
        </w:tc>
        <w:tc>
          <w:tcPr>
            <w:tcW w:type="dxa" w:w="1531"/>
          </w:tcPr>
          <w:p>
            <w:pPr>
              <w:spacing w:line="240" w:lineRule="exact"/>
            </w:pPr>
            <w:r/>
            <w:r>
              <w:rPr>
                <w:rFonts w:ascii="仿宋_GB2312" w:hAnsi="仿宋_GB2312" w:eastAsia="仿宋_GB2312"/>
                <w:b w:val="0"/>
                <w:sz w:val="16"/>
              </w:rPr>
              <w:t>—</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行政法规</w:t>
            </w:r>
          </w:p>
        </w:tc>
        <w:tc>
          <w:tcPr>
            <w:tcW w:type="dxa" w:w="2948"/>
          </w:tcPr>
          <w:p>
            <w:pPr>
              <w:spacing w:line="240" w:lineRule="exact"/>
            </w:pPr>
            <w:r/>
            <w:r>
              <w:rPr>
                <w:rFonts w:ascii="仿宋_GB2312" w:hAnsi="仿宋_GB2312" w:eastAsia="仿宋_GB2312"/>
                <w:b w:val="0"/>
                <w:sz w:val="16"/>
              </w:rPr>
              <w:t>中华人民共和国技术进出口管理条例</w:t>
            </w:r>
          </w:p>
        </w:tc>
        <w:tc>
          <w:tcPr>
            <w:tcW w:type="dxa" w:w="1928"/>
          </w:tcPr>
          <w:p>
            <w:pPr>
              <w:spacing w:line="240" w:lineRule="exact"/>
            </w:pPr>
            <w:r/>
            <w:r>
              <w:rPr>
                <w:rFonts w:ascii="仿宋_GB2312" w:hAnsi="仿宋_GB2312" w:eastAsia="仿宋_GB2312"/>
                <w:b w:val="0"/>
                <w:sz w:val="16"/>
              </w:rPr>
              <w:t>国务院令第331号公布（2001）；2011-01-08、2019-03-02、2020-11-29三次修订</w:t>
            </w:r>
          </w:p>
        </w:tc>
        <w:tc>
          <w:tcPr>
            <w:tcW w:type="dxa" w:w="1531"/>
          </w:tcPr>
          <w:p>
            <w:pPr>
              <w:spacing w:line="240" w:lineRule="exact"/>
            </w:pPr>
            <w:r/>
            <w:r>
              <w:rPr>
                <w:rFonts w:ascii="仿宋_GB2312" w:hAnsi="仿宋_GB2312" w:eastAsia="仿宋_GB2312"/>
                <w:b w:val="0"/>
                <w:sz w:val="16"/>
              </w:rPr>
              <w:t>—</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部门规章</w:t>
            </w:r>
          </w:p>
        </w:tc>
        <w:tc>
          <w:tcPr>
            <w:tcW w:type="dxa" w:w="2948"/>
          </w:tcPr>
          <w:p>
            <w:pPr>
              <w:spacing w:line="240" w:lineRule="exact"/>
            </w:pPr>
            <w:r/>
            <w:r>
              <w:rPr>
                <w:rFonts w:ascii="仿宋_GB2312" w:hAnsi="仿宋_GB2312" w:eastAsia="仿宋_GB2312"/>
                <w:b w:val="0"/>
                <w:sz w:val="16"/>
              </w:rPr>
              <w:t>商业秘密保护规定</w:t>
            </w:r>
          </w:p>
        </w:tc>
        <w:tc>
          <w:tcPr>
            <w:tcW w:type="dxa" w:w="1928"/>
          </w:tcPr>
          <w:p>
            <w:pPr>
              <w:spacing w:line="240" w:lineRule="exact"/>
            </w:pPr>
            <w:r/>
            <w:r>
              <w:rPr>
                <w:rFonts w:ascii="仿宋_GB2312" w:hAnsi="仿宋_GB2312" w:eastAsia="仿宋_GB2312"/>
                <w:b w:val="0"/>
                <w:sz w:val="16"/>
              </w:rPr>
              <w:t>市场监管总局令第126号</w:t>
            </w:r>
          </w:p>
        </w:tc>
        <w:tc>
          <w:tcPr>
            <w:tcW w:type="dxa" w:w="1531"/>
          </w:tcPr>
          <w:p>
            <w:pPr>
              <w:spacing w:line="240" w:lineRule="exact"/>
            </w:pPr>
            <w:r/>
            <w:r>
              <w:rPr>
                <w:rFonts w:ascii="仿宋_GB2312" w:hAnsi="仿宋_GB2312" w:eastAsia="仿宋_GB2312"/>
                <w:b w:val="0"/>
                <w:sz w:val="16"/>
              </w:rPr>
              <w:t>2026-06-01</w:t>
            </w:r>
          </w:p>
        </w:tc>
        <w:tc>
          <w:tcPr>
            <w:tcW w:type="dxa" w:w="1587"/>
          </w:tcPr>
          <w:p>
            <w:pPr>
              <w:spacing w:line="240" w:lineRule="exact"/>
            </w:pPr>
            <w:r/>
            <w:r>
              <w:rPr>
                <w:rFonts w:ascii="仿宋_GB2312" w:hAnsi="仿宋_GB2312" w:eastAsia="仿宋_GB2312"/>
                <w:b w:val="0"/>
                <w:sz w:val="16"/>
              </w:rPr>
              <w:t>已公布、未施行（2026-06-01起施行）</w:t>
            </w:r>
          </w:p>
        </w:tc>
      </w:tr>
      <w:tr>
        <w:tc>
          <w:tcPr>
            <w:tcW w:type="dxa" w:w="1077"/>
          </w:tcPr>
          <w:p>
            <w:pPr>
              <w:spacing w:line="240" w:lineRule="exact"/>
            </w:pPr>
            <w:r/>
            <w:r>
              <w:rPr>
                <w:rFonts w:ascii="仿宋_GB2312" w:hAnsi="仿宋_GB2312" w:eastAsia="仿宋_GB2312"/>
                <w:b w:val="0"/>
                <w:sz w:val="16"/>
              </w:rPr>
              <w:t>部门规章</w:t>
            </w:r>
          </w:p>
        </w:tc>
        <w:tc>
          <w:tcPr>
            <w:tcW w:type="dxa" w:w="2948"/>
          </w:tcPr>
          <w:p>
            <w:pPr>
              <w:spacing w:line="240" w:lineRule="exact"/>
            </w:pPr>
            <w:r/>
            <w:r>
              <w:rPr>
                <w:rFonts w:ascii="仿宋_GB2312" w:hAnsi="仿宋_GB2312" w:eastAsia="仿宋_GB2312"/>
                <w:b w:val="0"/>
                <w:sz w:val="16"/>
              </w:rPr>
              <w:t>网络反不正当竞争暂行规定</w:t>
            </w:r>
          </w:p>
        </w:tc>
        <w:tc>
          <w:tcPr>
            <w:tcW w:type="dxa" w:w="1928"/>
          </w:tcPr>
          <w:p>
            <w:pPr>
              <w:spacing w:line="240" w:lineRule="exact"/>
            </w:pPr>
            <w:r/>
            <w:r>
              <w:rPr>
                <w:rFonts w:ascii="仿宋_GB2312" w:hAnsi="仿宋_GB2312" w:eastAsia="仿宋_GB2312"/>
                <w:b w:val="0"/>
                <w:sz w:val="16"/>
              </w:rPr>
              <w:t>市场监管总局令第91号</w:t>
            </w:r>
          </w:p>
        </w:tc>
        <w:tc>
          <w:tcPr>
            <w:tcW w:type="dxa" w:w="1531"/>
          </w:tcPr>
          <w:p>
            <w:pPr>
              <w:spacing w:line="240" w:lineRule="exact"/>
            </w:pPr>
            <w:r/>
            <w:r>
              <w:rPr>
                <w:rFonts w:ascii="仿宋_GB2312" w:hAnsi="仿宋_GB2312" w:eastAsia="仿宋_GB2312"/>
                <w:b w:val="0"/>
                <w:sz w:val="16"/>
              </w:rPr>
              <w:t>2024-09-01</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部门规章</w:t>
            </w:r>
          </w:p>
        </w:tc>
        <w:tc>
          <w:tcPr>
            <w:tcW w:type="dxa" w:w="2948"/>
          </w:tcPr>
          <w:p>
            <w:pPr>
              <w:spacing w:line="240" w:lineRule="exact"/>
            </w:pPr>
            <w:r/>
            <w:r>
              <w:rPr>
                <w:rFonts w:ascii="仿宋_GB2312" w:hAnsi="仿宋_GB2312" w:eastAsia="仿宋_GB2312"/>
                <w:b w:val="0"/>
                <w:sz w:val="16"/>
              </w:rPr>
              <w:t>中央企业商业秘密保护暂行规定</w:t>
            </w:r>
          </w:p>
        </w:tc>
        <w:tc>
          <w:tcPr>
            <w:tcW w:type="dxa" w:w="1928"/>
          </w:tcPr>
          <w:p>
            <w:pPr>
              <w:spacing w:line="240" w:lineRule="exact"/>
            </w:pPr>
            <w:r/>
            <w:r>
              <w:rPr>
                <w:rFonts w:ascii="仿宋_GB2312" w:hAnsi="仿宋_GB2312" w:eastAsia="仿宋_GB2312"/>
                <w:b w:val="0"/>
                <w:sz w:val="16"/>
              </w:rPr>
              <w:t>国资发〔2010〕41号</w:t>
            </w:r>
          </w:p>
        </w:tc>
        <w:tc>
          <w:tcPr>
            <w:tcW w:type="dxa" w:w="1531"/>
          </w:tcPr>
          <w:p>
            <w:pPr>
              <w:spacing w:line="240" w:lineRule="exact"/>
            </w:pPr>
            <w:r/>
            <w:r>
              <w:rPr>
                <w:rFonts w:ascii="仿宋_GB2312" w:hAnsi="仿宋_GB2312" w:eastAsia="仿宋_GB2312"/>
                <w:b w:val="0"/>
                <w:sz w:val="16"/>
              </w:rPr>
              <w:t>—</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司法解释</w:t>
            </w:r>
          </w:p>
        </w:tc>
        <w:tc>
          <w:tcPr>
            <w:tcW w:type="dxa" w:w="2948"/>
          </w:tcPr>
          <w:p>
            <w:pPr>
              <w:spacing w:line="240" w:lineRule="exact"/>
            </w:pPr>
            <w:r/>
            <w:r>
              <w:rPr>
                <w:rFonts w:ascii="仿宋_GB2312" w:hAnsi="仿宋_GB2312" w:eastAsia="仿宋_GB2312"/>
                <w:b w:val="0"/>
                <w:sz w:val="16"/>
              </w:rPr>
              <w:t>最高人民法院关于审理侵犯商业秘密民事案件适用法律若干问题的规定</w:t>
            </w:r>
          </w:p>
        </w:tc>
        <w:tc>
          <w:tcPr>
            <w:tcW w:type="dxa" w:w="1928"/>
          </w:tcPr>
          <w:p>
            <w:pPr>
              <w:spacing w:line="240" w:lineRule="exact"/>
            </w:pPr>
            <w:r/>
            <w:r>
              <w:rPr>
                <w:rFonts w:ascii="仿宋_GB2312" w:hAnsi="仿宋_GB2312" w:eastAsia="仿宋_GB2312"/>
                <w:b w:val="0"/>
                <w:sz w:val="16"/>
              </w:rPr>
              <w:t>法释〔2020〕7号</w:t>
            </w:r>
          </w:p>
        </w:tc>
        <w:tc>
          <w:tcPr>
            <w:tcW w:type="dxa" w:w="1531"/>
          </w:tcPr>
          <w:p>
            <w:pPr>
              <w:spacing w:line="240" w:lineRule="exact"/>
            </w:pPr>
            <w:r/>
            <w:r>
              <w:rPr>
                <w:rFonts w:ascii="仿宋_GB2312" w:hAnsi="仿宋_GB2312" w:eastAsia="仿宋_GB2312"/>
                <w:b w:val="0"/>
                <w:sz w:val="16"/>
              </w:rPr>
              <w:t>2020-09-12</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司法解释</w:t>
            </w:r>
          </w:p>
        </w:tc>
        <w:tc>
          <w:tcPr>
            <w:tcW w:type="dxa" w:w="2948"/>
          </w:tcPr>
          <w:p>
            <w:pPr>
              <w:spacing w:line="240" w:lineRule="exact"/>
            </w:pPr>
            <w:r/>
            <w:r>
              <w:rPr>
                <w:rFonts w:ascii="仿宋_GB2312" w:hAnsi="仿宋_GB2312" w:eastAsia="仿宋_GB2312"/>
                <w:b w:val="0"/>
                <w:sz w:val="16"/>
              </w:rPr>
              <w:t>最高人民法院、最高人民检察院关于办理侵犯知识产权刑事案件适用法律若干问题的解释</w:t>
            </w:r>
          </w:p>
        </w:tc>
        <w:tc>
          <w:tcPr>
            <w:tcW w:type="dxa" w:w="1928"/>
          </w:tcPr>
          <w:p>
            <w:pPr>
              <w:spacing w:line="240" w:lineRule="exact"/>
            </w:pPr>
            <w:r/>
            <w:r>
              <w:rPr>
                <w:rFonts w:ascii="仿宋_GB2312" w:hAnsi="仿宋_GB2312" w:eastAsia="仿宋_GB2312"/>
                <w:b w:val="0"/>
                <w:sz w:val="16"/>
              </w:rPr>
              <w:t>法释〔2025〕5号</w:t>
            </w:r>
          </w:p>
        </w:tc>
        <w:tc>
          <w:tcPr>
            <w:tcW w:type="dxa" w:w="1531"/>
          </w:tcPr>
          <w:p>
            <w:pPr>
              <w:spacing w:line="240" w:lineRule="exact"/>
            </w:pPr>
            <w:r/>
            <w:r>
              <w:rPr>
                <w:rFonts w:ascii="仿宋_GB2312" w:hAnsi="仿宋_GB2312" w:eastAsia="仿宋_GB2312"/>
                <w:b w:val="0"/>
                <w:sz w:val="16"/>
              </w:rPr>
              <w:t>2025-04-26</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司法解释</w:t>
            </w:r>
          </w:p>
        </w:tc>
        <w:tc>
          <w:tcPr>
            <w:tcW w:type="dxa" w:w="2948"/>
          </w:tcPr>
          <w:p>
            <w:pPr>
              <w:spacing w:line="240" w:lineRule="exact"/>
            </w:pPr>
            <w:r/>
            <w:r>
              <w:rPr>
                <w:rFonts w:ascii="仿宋_GB2312" w:hAnsi="仿宋_GB2312" w:eastAsia="仿宋_GB2312"/>
                <w:b w:val="0"/>
                <w:sz w:val="16"/>
              </w:rPr>
              <w:t>最高人民法院关于适用《中华人民共和国反不正当竞争法》若干问题的解释</w:t>
            </w:r>
          </w:p>
        </w:tc>
        <w:tc>
          <w:tcPr>
            <w:tcW w:type="dxa" w:w="1928"/>
          </w:tcPr>
          <w:p>
            <w:pPr>
              <w:spacing w:line="240" w:lineRule="exact"/>
            </w:pPr>
            <w:r/>
            <w:r>
              <w:rPr>
                <w:rFonts w:ascii="仿宋_GB2312" w:hAnsi="仿宋_GB2312" w:eastAsia="仿宋_GB2312"/>
                <w:b w:val="0"/>
                <w:sz w:val="16"/>
              </w:rPr>
              <w:t>法释〔2022〕9号</w:t>
            </w:r>
          </w:p>
        </w:tc>
        <w:tc>
          <w:tcPr>
            <w:tcW w:type="dxa" w:w="1531"/>
          </w:tcPr>
          <w:p>
            <w:pPr>
              <w:spacing w:line="240" w:lineRule="exact"/>
            </w:pPr>
            <w:r/>
            <w:r>
              <w:rPr>
                <w:rFonts w:ascii="仿宋_GB2312" w:hAnsi="仿宋_GB2312" w:eastAsia="仿宋_GB2312"/>
                <w:b w:val="0"/>
                <w:sz w:val="16"/>
              </w:rPr>
              <w:t>2022-03-20</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司法解释</w:t>
            </w:r>
          </w:p>
        </w:tc>
        <w:tc>
          <w:tcPr>
            <w:tcW w:type="dxa" w:w="2948"/>
          </w:tcPr>
          <w:p>
            <w:pPr>
              <w:spacing w:line="240" w:lineRule="exact"/>
            </w:pPr>
            <w:r/>
            <w:r>
              <w:rPr>
                <w:rFonts w:ascii="仿宋_GB2312" w:hAnsi="仿宋_GB2312" w:eastAsia="仿宋_GB2312"/>
                <w:b w:val="0"/>
                <w:sz w:val="16"/>
              </w:rPr>
              <w:t>最高人民法院关于知识产权民事诉讼证据的若干规定</w:t>
            </w:r>
          </w:p>
        </w:tc>
        <w:tc>
          <w:tcPr>
            <w:tcW w:type="dxa" w:w="1928"/>
          </w:tcPr>
          <w:p>
            <w:pPr>
              <w:spacing w:line="240" w:lineRule="exact"/>
            </w:pPr>
            <w:r/>
            <w:r>
              <w:rPr>
                <w:rFonts w:ascii="仿宋_GB2312" w:hAnsi="仿宋_GB2312" w:eastAsia="仿宋_GB2312"/>
                <w:b w:val="0"/>
                <w:sz w:val="16"/>
              </w:rPr>
              <w:t>法释〔2020〕12号</w:t>
            </w:r>
          </w:p>
        </w:tc>
        <w:tc>
          <w:tcPr>
            <w:tcW w:type="dxa" w:w="1531"/>
          </w:tcPr>
          <w:p>
            <w:pPr>
              <w:spacing w:line="240" w:lineRule="exact"/>
            </w:pPr>
            <w:r/>
            <w:r>
              <w:rPr>
                <w:rFonts w:ascii="仿宋_GB2312" w:hAnsi="仿宋_GB2312" w:eastAsia="仿宋_GB2312"/>
                <w:b w:val="0"/>
                <w:sz w:val="16"/>
              </w:rPr>
              <w:t>2020-11-18</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司法解释</w:t>
            </w:r>
          </w:p>
        </w:tc>
        <w:tc>
          <w:tcPr>
            <w:tcW w:type="dxa" w:w="2948"/>
          </w:tcPr>
          <w:p>
            <w:pPr>
              <w:spacing w:line="240" w:lineRule="exact"/>
            </w:pPr>
            <w:r/>
            <w:r>
              <w:rPr>
                <w:rFonts w:ascii="仿宋_GB2312" w:hAnsi="仿宋_GB2312" w:eastAsia="仿宋_GB2312"/>
                <w:b w:val="0"/>
                <w:sz w:val="16"/>
              </w:rPr>
              <w:t>最高人民法院关于适用《中华人民共和国刑事诉讼法》的解释</w:t>
            </w:r>
          </w:p>
        </w:tc>
        <w:tc>
          <w:tcPr>
            <w:tcW w:type="dxa" w:w="1928"/>
          </w:tcPr>
          <w:p>
            <w:pPr>
              <w:spacing w:line="240" w:lineRule="exact"/>
            </w:pPr>
            <w:r/>
            <w:r>
              <w:rPr>
                <w:rFonts w:ascii="仿宋_GB2312" w:hAnsi="仿宋_GB2312" w:eastAsia="仿宋_GB2312"/>
                <w:b w:val="0"/>
                <w:sz w:val="16"/>
              </w:rPr>
              <w:t>法释〔2021〕1号</w:t>
            </w:r>
          </w:p>
        </w:tc>
        <w:tc>
          <w:tcPr>
            <w:tcW w:type="dxa" w:w="1531"/>
          </w:tcPr>
          <w:p>
            <w:pPr>
              <w:spacing w:line="240" w:lineRule="exact"/>
            </w:pPr>
            <w:r/>
            <w:r>
              <w:rPr>
                <w:rFonts w:ascii="仿宋_GB2312" w:hAnsi="仿宋_GB2312" w:eastAsia="仿宋_GB2312"/>
                <w:b w:val="0"/>
                <w:sz w:val="16"/>
              </w:rPr>
              <w:t>2021-03-01</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司法文件与规范性文件</w:t>
            </w:r>
          </w:p>
        </w:tc>
        <w:tc>
          <w:tcPr>
            <w:tcW w:type="dxa" w:w="2948"/>
          </w:tcPr>
          <w:p>
            <w:pPr>
              <w:spacing w:line="240" w:lineRule="exact"/>
            </w:pPr>
            <w:r/>
            <w:r>
              <w:rPr>
                <w:rFonts w:ascii="仿宋_GB2312" w:hAnsi="仿宋_GB2312" w:eastAsia="仿宋_GB2312"/>
                <w:b w:val="0"/>
                <w:sz w:val="16"/>
              </w:rPr>
              <w:t>最高人民检察院、公安部关于公安机关管辖的刑事案件立案追诉标准的规定（二）（2022修订）</w:t>
            </w:r>
          </w:p>
        </w:tc>
        <w:tc>
          <w:tcPr>
            <w:tcW w:type="dxa" w:w="1928"/>
          </w:tcPr>
          <w:p>
            <w:pPr>
              <w:spacing w:line="240" w:lineRule="exact"/>
            </w:pPr>
            <w:r/>
            <w:r>
              <w:rPr>
                <w:rFonts w:ascii="仿宋_GB2312" w:hAnsi="仿宋_GB2312" w:eastAsia="仿宋_GB2312"/>
                <w:b w:val="0"/>
                <w:sz w:val="16"/>
              </w:rPr>
              <w:t>公通字〔2022〕12号</w:t>
            </w:r>
          </w:p>
        </w:tc>
        <w:tc>
          <w:tcPr>
            <w:tcW w:type="dxa" w:w="1531"/>
          </w:tcPr>
          <w:p>
            <w:pPr>
              <w:spacing w:line="240" w:lineRule="exact"/>
            </w:pPr>
            <w:r/>
            <w:r>
              <w:rPr>
                <w:rFonts w:ascii="仿宋_GB2312" w:hAnsi="仿宋_GB2312" w:eastAsia="仿宋_GB2312"/>
                <w:b w:val="0"/>
                <w:sz w:val="16"/>
              </w:rPr>
              <w:t>2022-05-15（第八十五条）</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司法文件与规范性文件</w:t>
            </w:r>
          </w:p>
        </w:tc>
        <w:tc>
          <w:tcPr>
            <w:tcW w:type="dxa" w:w="2948"/>
          </w:tcPr>
          <w:p>
            <w:pPr>
              <w:spacing w:line="240" w:lineRule="exact"/>
            </w:pPr>
            <w:r/>
            <w:r>
              <w:rPr>
                <w:rFonts w:ascii="仿宋_GB2312" w:hAnsi="仿宋_GB2312" w:eastAsia="仿宋_GB2312"/>
                <w:b w:val="0"/>
                <w:sz w:val="16"/>
              </w:rPr>
              <w:t>最高人民检察院、公安部关于修改侵犯商业秘密刑事案件立案追诉标准的决定</w:t>
            </w:r>
          </w:p>
        </w:tc>
        <w:tc>
          <w:tcPr>
            <w:tcW w:type="dxa" w:w="1928"/>
          </w:tcPr>
          <w:p>
            <w:pPr>
              <w:spacing w:line="240" w:lineRule="exact"/>
            </w:pPr>
            <w:r/>
            <w:r>
              <w:rPr>
                <w:rFonts w:ascii="仿宋_GB2312" w:hAnsi="仿宋_GB2312" w:eastAsia="仿宋_GB2312"/>
                <w:b w:val="0"/>
                <w:sz w:val="16"/>
              </w:rPr>
              <w:t>高检发〔2020〕15号〔待核证：存档页未见文号〕</w:t>
            </w:r>
          </w:p>
        </w:tc>
        <w:tc>
          <w:tcPr>
            <w:tcW w:type="dxa" w:w="1531"/>
          </w:tcPr>
          <w:p>
            <w:pPr>
              <w:spacing w:line="240" w:lineRule="exact"/>
            </w:pPr>
            <w:r/>
            <w:r>
              <w:rPr>
                <w:rFonts w:ascii="仿宋_GB2312" w:hAnsi="仿宋_GB2312" w:eastAsia="仿宋_GB2312"/>
                <w:b w:val="0"/>
                <w:sz w:val="16"/>
              </w:rPr>
              <w:t>自印发时施行</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地方性法规</w:t>
            </w:r>
          </w:p>
        </w:tc>
        <w:tc>
          <w:tcPr>
            <w:tcW w:type="dxa" w:w="2948"/>
          </w:tcPr>
          <w:p>
            <w:pPr>
              <w:spacing w:line="240" w:lineRule="exact"/>
            </w:pPr>
            <w:r/>
            <w:r>
              <w:rPr>
                <w:rFonts w:ascii="仿宋_GB2312" w:hAnsi="仿宋_GB2312" w:eastAsia="仿宋_GB2312"/>
                <w:b w:val="0"/>
                <w:sz w:val="16"/>
              </w:rPr>
              <w:t>深圳经济特区企业技术秘密保护条例</w:t>
            </w:r>
          </w:p>
        </w:tc>
        <w:tc>
          <w:tcPr>
            <w:tcW w:type="dxa" w:w="1928"/>
          </w:tcPr>
          <w:p>
            <w:pPr>
              <w:spacing w:line="240" w:lineRule="exact"/>
            </w:pPr>
            <w:r/>
            <w:r>
              <w:rPr>
                <w:rFonts w:ascii="仿宋_GB2312" w:hAnsi="仿宋_GB2312" w:eastAsia="仿宋_GB2312"/>
                <w:b w:val="0"/>
                <w:sz w:val="16"/>
              </w:rPr>
              <w:t>—</w:t>
            </w:r>
          </w:p>
        </w:tc>
        <w:tc>
          <w:tcPr>
            <w:tcW w:type="dxa" w:w="1531"/>
          </w:tcPr>
          <w:p>
            <w:pPr>
              <w:spacing w:line="240" w:lineRule="exact"/>
            </w:pPr>
            <w:r/>
            <w:r>
              <w:rPr>
                <w:rFonts w:ascii="仿宋_GB2312" w:hAnsi="仿宋_GB2312" w:eastAsia="仿宋_GB2312"/>
                <w:b w:val="0"/>
                <w:sz w:val="16"/>
              </w:rPr>
              <w:t>—</w:t>
            </w:r>
          </w:p>
        </w:tc>
        <w:tc>
          <w:tcPr>
            <w:tcW w:type="dxa" w:w="1587"/>
          </w:tcPr>
          <w:p>
            <w:pPr>
              <w:spacing w:line="240" w:lineRule="exact"/>
            </w:pPr>
            <w:r/>
            <w:r>
              <w:rPr>
                <w:rFonts w:ascii="仿宋_GB2312" w:hAnsi="仿宋_GB2312" w:eastAsia="仿宋_GB2312"/>
                <w:b w:val="0"/>
                <w:sz w:val="16"/>
              </w:rPr>
              <w:t>现行有效</w:t>
            </w:r>
          </w:p>
        </w:tc>
      </w:tr>
      <w:tr>
        <w:tc>
          <w:tcPr>
            <w:tcW w:type="dxa" w:w="1077"/>
          </w:tcPr>
          <w:p>
            <w:pPr>
              <w:spacing w:line="240" w:lineRule="exact"/>
            </w:pPr>
            <w:r/>
            <w:r>
              <w:rPr>
                <w:rFonts w:ascii="仿宋_GB2312" w:hAnsi="仿宋_GB2312" w:eastAsia="仿宋_GB2312"/>
                <w:b w:val="0"/>
                <w:sz w:val="16"/>
              </w:rPr>
              <w:t>国家标准</w:t>
            </w:r>
          </w:p>
        </w:tc>
        <w:tc>
          <w:tcPr>
            <w:tcW w:type="dxa" w:w="2948"/>
          </w:tcPr>
          <w:p>
            <w:pPr>
              <w:spacing w:line="240" w:lineRule="exact"/>
            </w:pPr>
            <w:r/>
            <w:r>
              <w:rPr>
                <w:rFonts w:ascii="仿宋_GB2312" w:hAnsi="仿宋_GB2312" w:eastAsia="仿宋_GB2312"/>
                <w:b w:val="0"/>
                <w:sz w:val="16"/>
              </w:rPr>
              <w:t>GB/T 29490-2023 企业知识产权合规管理体系 要求</w:t>
            </w:r>
          </w:p>
        </w:tc>
        <w:tc>
          <w:tcPr>
            <w:tcW w:type="dxa" w:w="1928"/>
          </w:tcPr>
          <w:p>
            <w:pPr>
              <w:spacing w:line="240" w:lineRule="exact"/>
            </w:pPr>
            <w:r/>
            <w:r>
              <w:rPr>
                <w:rFonts w:ascii="仿宋_GB2312" w:hAnsi="仿宋_GB2312" w:eastAsia="仿宋_GB2312"/>
                <w:b w:val="0"/>
                <w:sz w:val="16"/>
              </w:rPr>
              <w:t>国家标准</w:t>
            </w:r>
          </w:p>
        </w:tc>
        <w:tc>
          <w:tcPr>
            <w:tcW w:type="dxa" w:w="1531"/>
          </w:tcPr>
          <w:p>
            <w:pPr>
              <w:spacing w:line="240" w:lineRule="exact"/>
            </w:pPr>
            <w:r/>
            <w:r>
              <w:rPr>
                <w:rFonts w:ascii="仿宋_GB2312" w:hAnsi="仿宋_GB2312" w:eastAsia="仿宋_GB2312"/>
                <w:b w:val="0"/>
                <w:sz w:val="16"/>
              </w:rPr>
              <w:t>2024-01-01实施</w:t>
            </w:r>
          </w:p>
        </w:tc>
        <w:tc>
          <w:tcPr>
            <w:tcW w:type="dxa" w:w="1587"/>
          </w:tcPr>
          <w:p>
            <w:pPr>
              <w:spacing w:line="240" w:lineRule="exact"/>
            </w:pPr>
            <w:r/>
            <w:r>
              <w:rPr>
                <w:rFonts w:ascii="仿宋_GB2312" w:hAnsi="仿宋_GB2312" w:eastAsia="仿宋_GB2312"/>
                <w:b w:val="0"/>
                <w:sz w:val="16"/>
              </w:rPr>
              <w:t>现行有效</w:t>
            </w:r>
          </w:p>
        </w:tc>
      </w:tr>
    </w:tbl>
    <w:p>
      <w:pPr>
        <w:spacing w:after="40"/>
      </w:pPr>
    </w:p>
    <w:p>
      <w:pPr>
        <w:spacing w:line="600" w:lineRule="exact" w:after="160"/>
      </w:pPr>
      <w:r>
        <w:rPr>
          <w:rFonts w:ascii="黑体" w:hAnsi="黑体" w:eastAsia="黑体"/>
          <w:b w:val="0"/>
          <w:sz w:val="30"/>
        </w:rPr>
        <w:t>四、涉商业秘密核心条文汇编（经一手文本核证）</w:t>
      </w:r>
    </w:p>
    <w:p>
      <w:pPr>
        <w:spacing w:line="560" w:lineRule="exact" w:after="100"/>
      </w:pPr>
      <w:r>
        <w:rPr>
          <w:rFonts w:ascii="楷体_GB2312" w:hAnsi="楷体_GB2312" w:eastAsia="楷体_GB2312"/>
          <w:b/>
          <w:sz w:val="26"/>
        </w:rPr>
        <w:t>（一）反不正当竞争法（2025修订）——商业秘密保护基本规范</w:t>
      </w:r>
    </w:p>
    <w:p>
      <w:pPr>
        <w:spacing w:line="560" w:lineRule="exact" w:after="120"/>
        <w:ind w:firstLine="480"/>
      </w:pPr>
      <w:r>
        <w:rPr>
          <w:rFonts w:ascii="仿宋_GB2312" w:hAnsi="仿宋_GB2312" w:eastAsia="仿宋_GB2312"/>
          <w:b w:val="0"/>
          <w:sz w:val="24"/>
        </w:rPr>
        <w:t>第十条　经营者不得实施下列侵犯商业秘密的行为：（一）以盗窃、贿赂、欺诈、胁迫、电子侵入或者其他不正当手段获取权利人的商业秘密；（二）披露、使用或者允许他人使用以前项手段获取的权利人的商业秘密；（三）违反保密义务或者违反权利人有关保守商业秘密的要求，披露、使用或者允许他人使用其所掌握的商业秘密；（四）教唆、引诱、帮助他人违反保密义务或者违反权利人有关保守商业秘密的要求，获取、披露、使用或者允许他人使用权利人的商业秘密。经营者以外的其他自然人、法人和非法人组织实施前款所列违法行为的，视为侵犯商业秘密。第三人明知或者应知商业秘密权利人的员工、前员工或者其他单位、个人实施本条第一款所列违法行为，仍获取、披露、使用或者允许他人使用该商业秘密的，视为侵犯商业秘密。本法所称的商业秘密，是指不为公众所知悉、具有商业价值并经权利人采取相应保密措施的技术信息、经营信息等商业信息。</w:t>
      </w:r>
    </w:p>
    <w:p>
      <w:pPr>
        <w:spacing w:line="560" w:lineRule="exact" w:after="120"/>
        <w:ind w:firstLine="480"/>
      </w:pPr>
      <w:r>
        <w:rPr>
          <w:rFonts w:ascii="仿宋_GB2312" w:hAnsi="仿宋_GB2312" w:eastAsia="仿宋_GB2312"/>
          <w:b w:val="0"/>
          <w:sz w:val="24"/>
        </w:rPr>
        <w:t>第二十二条（节选）　经营者故意实施侵犯商业秘密行为，情节严重的，可以在按照上述方法确定数额的一倍以上五倍以下确定赔偿数额。……权利人因被侵权所受到的实际损失、侵权人因侵权所获得的利益难以确定的，由人民法院根据侵权行为的情节判决给予权利人五百万元以下的赔偿。</w:t>
      </w:r>
    </w:p>
    <w:p>
      <w:pPr>
        <w:spacing w:line="560" w:lineRule="exact" w:after="120"/>
        <w:ind w:firstLine="480"/>
      </w:pPr>
      <w:r>
        <w:rPr>
          <w:rFonts w:ascii="仿宋_GB2312" w:hAnsi="仿宋_GB2312" w:eastAsia="仿宋_GB2312"/>
          <w:b w:val="0"/>
          <w:sz w:val="24"/>
        </w:rPr>
        <w:t>第二十六条　经营者以及其他自然人、法人和非法人组织违反本法第十条规定侵犯商业秘密的，由监督检查部门责令停止违法行为，没收违法所得，处十万元以上一百万元以下的罚款；情节严重的，处一百万元以上五百万元以下的罚款。</w:t>
      </w:r>
    </w:p>
    <w:p>
      <w:pPr>
        <w:spacing w:line="560" w:lineRule="exact" w:after="100"/>
      </w:pPr>
      <w:r>
        <w:rPr>
          <w:rFonts w:ascii="楷体_GB2312" w:hAnsi="楷体_GB2312" w:eastAsia="楷体_GB2312"/>
          <w:b/>
          <w:sz w:val="26"/>
        </w:rPr>
        <w:t>（二）刑法（2020修正）——刑事制裁</w:t>
      </w:r>
    </w:p>
    <w:p>
      <w:pPr>
        <w:spacing w:line="560" w:lineRule="exact" w:after="120"/>
        <w:ind w:firstLine="480"/>
      </w:pPr>
      <w:r>
        <w:rPr>
          <w:rFonts w:ascii="仿宋_GB2312" w:hAnsi="仿宋_GB2312" w:eastAsia="仿宋_GB2312"/>
          <w:b w:val="0"/>
          <w:sz w:val="24"/>
        </w:rPr>
        <w:t>第二百一十九条（侵犯商业秘密罪）、第二百一十九条之一（为境外窃取、刺探、收买、非法提供商业秘密罪）：以盗窃、贿赂、欺诈、胁迫、电子侵入或者其他不正当手段获取权利人商业秘密等行为，情节严重的处三年以下有期徒刑并处罚金，情节特别严重的处三年以上十年以下有期徒刑并处罚金。</w:t>
      </w:r>
    </w:p>
    <w:p>
      <w:pPr>
        <w:spacing w:line="560" w:lineRule="exact" w:after="100"/>
      </w:pPr>
      <w:r>
        <w:rPr>
          <w:rFonts w:ascii="楷体_GB2312" w:hAnsi="楷体_GB2312" w:eastAsia="楷体_GB2312"/>
          <w:b/>
          <w:sz w:val="26"/>
        </w:rPr>
        <w:t>（三）刑事入罪与量刑标准（法释〔2025〕5号第十六至二十一条，2025-04-26施行）</w:t>
      </w:r>
    </w:p>
    <w:p>
      <w:pPr>
        <w:spacing w:line="560" w:lineRule="exact" w:after="120"/>
        <w:ind w:firstLine="480"/>
      </w:pPr>
      <w:r>
        <w:rPr>
          <w:rFonts w:ascii="仿宋_GB2312" w:hAnsi="仿宋_GB2312" w:eastAsia="仿宋_GB2312"/>
          <w:b w:val="0"/>
          <w:sz w:val="24"/>
        </w:rPr>
        <w:t>第十七条　侵犯商业秘密，具有下列情形之一的，应当认定为刑法第二百一十九条规定的“情节严重”：（一）给商业秘密的权利人造成损失数额在三十万元以上的；（二）因侵犯商业秘密违法所得数额在三十万元以上的；（三）二年内因实施刑法第二百一十九条、第二百一十九条之一规定的行为受过刑事处罚或者行政处罚后再次实施，造成损失数额或者违法所得数额在十万元以上的；（四）其他情节严重的情形。侵犯商业秘密，直接导致商业秘密的权利人因重大经营困难而破产、倒闭的，或者数额达到本条前款相应规定标准十倍以上的，应当认定为“情节特别严重”。</w:t>
      </w:r>
    </w:p>
    <w:p>
      <w:pPr>
        <w:spacing w:line="560" w:lineRule="exact" w:after="120"/>
        <w:ind w:firstLine="480"/>
      </w:pPr>
      <w:r>
        <w:rPr>
          <w:rFonts w:ascii="仿宋_GB2312" w:hAnsi="仿宋_GB2312" w:eastAsia="仿宋_GB2312"/>
          <w:b w:val="0"/>
          <w:sz w:val="24"/>
        </w:rPr>
        <w:t>第十八条（要点）：以不正当手段获取但尚未披露使用的，损失数额可按合理许可使用费确定；获取后披露使用的，按权利人利润损失确定（低于合理许可使用费的按许可费确定）；违反保密义务披露使用的按利润损失确定；导致商业秘密为公众知悉或灭失的，按商业价值（研发成本、实施收益等综合）确定。第二十一条：刑诉中当事人等可申请对商业秘密证据采取签署保密承诺书等保密措施。</w:t>
      </w:r>
    </w:p>
    <w:p>
      <w:pPr>
        <w:spacing w:line="560" w:lineRule="exact" w:after="100"/>
      </w:pPr>
      <w:r>
        <w:rPr>
          <w:rFonts w:ascii="楷体_GB2312" w:hAnsi="楷体_GB2312" w:eastAsia="楷体_GB2312"/>
          <w:b/>
          <w:sz w:val="26"/>
        </w:rPr>
        <w:t>（四）劳动人事与公司治理</w:t>
      </w:r>
    </w:p>
    <w:p>
      <w:pPr>
        <w:spacing w:line="560" w:lineRule="exact" w:after="120"/>
        <w:ind w:firstLine="480"/>
      </w:pPr>
      <w:r>
        <w:rPr>
          <w:rFonts w:ascii="仿宋_GB2312" w:hAnsi="仿宋_GB2312" w:eastAsia="仿宋_GB2312"/>
          <w:b w:val="0"/>
          <w:sz w:val="24"/>
        </w:rPr>
        <w:t>劳动合同法第二十三条（保密事项与竞业限制约定、按月经济补偿）、第二十四条（竞业限制限于高管、高级技术人员和其他负有保密义务人员，期限不超二年）、第九十条（赔偿责任）；劳动法第二十二条；公司法（2023修订）第五十七条（股东知情权行使中的保密义务）、第一百八十一条第一款第五项（董监高不得擅自披露公司秘密）。</w:t>
      </w:r>
    </w:p>
    <w:p>
      <w:pPr>
        <w:spacing w:line="560" w:lineRule="exact" w:after="100"/>
      </w:pPr>
      <w:r>
        <w:rPr>
          <w:rFonts w:ascii="楷体_GB2312" w:hAnsi="楷体_GB2312" w:eastAsia="楷体_GB2312"/>
          <w:b/>
          <w:sz w:val="26"/>
        </w:rPr>
        <w:t>（五）程序法保密条款</w:t>
      </w:r>
    </w:p>
    <w:p>
      <w:pPr>
        <w:spacing w:line="560" w:lineRule="exact" w:after="120"/>
        <w:ind w:firstLine="480"/>
      </w:pPr>
      <w:r>
        <w:rPr>
          <w:rFonts w:ascii="仿宋_GB2312" w:hAnsi="仿宋_GB2312" w:eastAsia="仿宋_GB2312"/>
          <w:b w:val="0"/>
          <w:sz w:val="24"/>
        </w:rPr>
        <w:t>民事诉讼法（2023修正）第七十一条（涉密证据保密）、第一百三十七条（涉商业秘密案件可申请不公开审理）、第一百五十九条（裁判文书涉密内容不公开查阅）；刑事诉讼法（2018修正）第五十四条、第一百五十二条、第一百八十八条；行政诉讼法（2017修正）第三十二条、第四十一条、第四十三条、第五十四条、第六十五条；刑诉法解释（法释〔2021〕1号）第五十五条、第八十一条、第二百二十二条；知产证据规定（法释〔2020〕12号）第十九条、第二十六条。</w:t>
      </w:r>
    </w:p>
    <w:p>
      <w:pPr>
        <w:spacing w:line="560" w:lineRule="exact" w:after="100"/>
      </w:pPr>
      <w:r>
        <w:rPr>
          <w:rFonts w:ascii="楷体_GB2312" w:hAnsi="楷体_GB2312" w:eastAsia="楷体_GB2312"/>
          <w:b/>
          <w:sz w:val="26"/>
        </w:rPr>
        <w:t>（六）商业秘密专门规章与地方立法</w:t>
      </w:r>
    </w:p>
    <w:p>
      <w:pPr>
        <w:spacing w:line="560" w:lineRule="exact" w:after="120"/>
        <w:ind w:firstLine="480"/>
      </w:pPr>
      <w:r>
        <w:rPr>
          <w:rFonts w:ascii="仿宋_GB2312" w:hAnsi="仿宋_GB2312" w:eastAsia="仿宋_GB2312"/>
          <w:b w:val="0"/>
          <w:sz w:val="24"/>
        </w:rPr>
        <w:t>《商业秘密保护规定》（市场监管总局令第126号，2026-06-01施行，31条）系统规定商业秘密定义与保密措施认定、侵权行为、行政查处程序及罚则；《中央企业商业秘密保护暂行规定》（国资发〔2010〕41号，33条）确立央企商业秘密密级（核心商密/普通商密）、保密协议与竞业限制管理规范；《深圳经济特区企业技术秘密保护条例》（2019修正，40条）为企业技术秘密专门地方立法。</w:t>
      </w:r>
    </w:p>
    <w:p>
      <w:pPr>
        <w:spacing w:line="600" w:lineRule="exact" w:after="160"/>
      </w:pPr>
      <w:r>
        <w:rPr>
          <w:rFonts w:ascii="黑体" w:hAnsi="黑体" w:eastAsia="黑体"/>
          <w:b w:val="0"/>
          <w:sz w:val="30"/>
        </w:rPr>
        <w:t>五、重大核证发现与适用提示</w:t>
      </w:r>
    </w:p>
    <w:p>
      <w:pPr>
        <w:spacing w:line="560" w:lineRule="exact" w:after="120"/>
        <w:ind w:firstLine="480"/>
      </w:pPr>
      <w:r>
        <w:rPr>
          <w:rFonts w:ascii="楷体_GB2312" w:hAnsi="楷体_GB2312" w:eastAsia="楷体_GB2312"/>
          <w:b/>
          <w:sz w:val="24"/>
        </w:rPr>
        <w:t>发现1：2022版《立案追诉标准（二）》已删除全部知识产权犯罪立案追诉标准</w:t>
      </w:r>
    </w:p>
    <w:p>
      <w:pPr>
        <w:spacing w:line="560" w:lineRule="exact" w:after="120"/>
        <w:ind w:firstLine="480"/>
      </w:pPr>
      <w:r>
        <w:rPr>
          <w:rFonts w:ascii="仿宋_GB2312" w:hAnsi="仿宋_GB2312" w:eastAsia="仿宋_GB2312"/>
          <w:b w:val="0"/>
          <w:sz w:val="24"/>
        </w:rPr>
        <w:t>公通字〔2022〕12号（2022-05-15施行）第八十五条规定废止2010年版（公通字〔2010〕23号）及2011年补充规定，修订后文本不再含侵犯商业秘密案等知产犯罪立案追诉条款。凡引用'2010版第七十三条'或笼统引用'立案追诉标准（二）第七十三条'均已失效。</w:t>
      </w:r>
    </w:p>
    <w:p>
      <w:pPr>
        <w:spacing w:line="560" w:lineRule="exact" w:after="120"/>
        <w:ind w:firstLine="480"/>
      </w:pPr>
      <w:r>
        <w:rPr>
          <w:rFonts w:ascii="楷体_GB2312" w:hAnsi="楷体_GB2312" w:eastAsia="楷体_GB2312"/>
          <w:b/>
          <w:sz w:val="24"/>
        </w:rPr>
        <w:t>发现2：30万元入罪标准的现行直接依据为2020年修改决定</w:t>
      </w:r>
    </w:p>
    <w:p>
      <w:pPr>
        <w:spacing w:line="560" w:lineRule="exact" w:after="120"/>
        <w:ind w:firstLine="480"/>
      </w:pPr>
      <w:r>
        <w:rPr>
          <w:rFonts w:ascii="仿宋_GB2312" w:hAnsi="仿宋_GB2312" w:eastAsia="仿宋_GB2312"/>
          <w:b w:val="0"/>
          <w:sz w:val="24"/>
        </w:rPr>
        <w:t>《最高人民检察院、公安部关于修改侵犯商业秘密刑事案件立案追诉标准的决定》（高检发〔2020〕15号，2020-09-17印发）将2010版第七十三条修改为：损失数额30万元以上/违法所得30万元以上/直接导致权利人破产倒闭等情形应予立案追诉。该决定未被后续文件废止，为现行直接依据。</w:t>
      </w:r>
    </w:p>
    <w:p>
      <w:pPr>
        <w:spacing w:line="560" w:lineRule="exact" w:after="120"/>
        <w:ind w:firstLine="480"/>
      </w:pPr>
      <w:r>
        <w:rPr>
          <w:rFonts w:ascii="楷体_GB2312" w:hAnsi="楷体_GB2312" w:eastAsia="楷体_GB2312"/>
          <w:b/>
          <w:sz w:val="24"/>
        </w:rPr>
        <w:t>发现3：2025年4月26日起刑事标准由法释〔2025〕5号承继并细化</w:t>
      </w:r>
    </w:p>
    <w:p>
      <w:pPr>
        <w:spacing w:line="560" w:lineRule="exact" w:after="120"/>
        <w:ind w:firstLine="480"/>
      </w:pPr>
      <w:r>
        <w:rPr>
          <w:rFonts w:ascii="仿宋_GB2312" w:hAnsi="仿宋_GB2312" w:eastAsia="仿宋_GB2312"/>
          <w:b w:val="0"/>
          <w:sz w:val="24"/>
        </w:rPr>
        <w:t>法释〔2025〕5号（2025-04-26施行）第十七条以司法解释形式确立'情节严重'标准（损失/违法所得30万元以上；二年内再犯致数额10万元以上），并规定'情节特别严重'（致破产倒闭或数额达前款标准十倍以上）；第十六、十八至二十一条细化手段认定、损失计算与刑诉保密措施。与高检发〔2020〕15号决定并存适用：前者为司法解释定罪标准，后者为立案追诉操作依据。</w:t>
      </w:r>
    </w:p>
    <w:p>
      <w:pPr>
        <w:spacing w:line="560" w:lineRule="exact" w:after="120"/>
        <w:ind w:firstLine="480"/>
      </w:pPr>
      <w:r>
        <w:rPr>
          <w:rFonts w:ascii="楷体_GB2312" w:hAnsi="楷体_GB2312" w:eastAsia="楷体_GB2312"/>
          <w:b/>
          <w:sz w:val="24"/>
        </w:rPr>
        <w:t>发现4：《商业秘密保护规定》（126号令）2026年6月1日施行并废止1995年旧规</w:t>
      </w:r>
    </w:p>
    <w:p>
      <w:pPr>
        <w:spacing w:line="560" w:lineRule="exact" w:after="120"/>
        <w:ind w:firstLine="480"/>
      </w:pPr>
      <w:r>
        <w:rPr>
          <w:rFonts w:ascii="仿宋_GB2312" w:hAnsi="仿宋_GB2312" w:eastAsia="仿宋_GB2312"/>
          <w:b w:val="0"/>
          <w:sz w:val="24"/>
        </w:rPr>
        <w:t>市场监管总局令第126号（2026-02-24公布、2026-06-01施行）为商业秘密行政保护专门规章；第三十一条规定1995年《关于禁止侵犯商业秘密行为的若干规定》（原国家工商局令第41号）同时废止。2026-06-01后行政查处一律适用新规。</w:t>
      </w:r>
    </w:p>
    <w:p>
      <w:pPr>
        <w:spacing w:line="560" w:lineRule="exact" w:after="120"/>
        <w:ind w:firstLine="480"/>
      </w:pPr>
      <w:r>
        <w:rPr>
          <w:rFonts w:ascii="楷体_GB2312" w:hAnsi="楷体_GB2312" w:eastAsia="楷体_GB2312"/>
          <w:b/>
          <w:sz w:val="24"/>
        </w:rPr>
        <w:t>发现5：2025修订反法商业秘密条款条文号已重排</w:t>
      </w:r>
    </w:p>
    <w:p>
      <w:pPr>
        <w:spacing w:line="560" w:lineRule="exact" w:after="120"/>
        <w:ind w:firstLine="480"/>
      </w:pPr>
      <w:r>
        <w:rPr>
          <w:rFonts w:ascii="仿宋_GB2312" w:hAnsi="仿宋_GB2312" w:eastAsia="仿宋_GB2312"/>
          <w:b w:val="0"/>
          <w:sz w:val="24"/>
        </w:rPr>
        <w:t>反不正当竞争法（2025修订，2025-10-15施行）中商业秘密侵权行为与定义条款由2019年版第九条调整为第十条；行政处罚条款为第二十六条；惩罚性赔偿（1-5倍）与500万元法定赔偿规定于第二十二条。引用旧条文号（第九条/第十七条）在2025-10-15后应更新。另经核证：法释〔2022〕9号反法解释不含商业秘密专门条款，商业秘密民事规则专门解释仍为法释〔2020〕7号。</w:t>
      </w:r>
    </w:p>
    <w:p>
      <w:pPr>
        <w:spacing w:line="600" w:lineRule="exact" w:after="160"/>
      </w:pPr>
      <w:r>
        <w:rPr>
          <w:rFonts w:ascii="黑体" w:hAnsi="黑体" w:eastAsia="黑体"/>
          <w:b w:val="0"/>
          <w:sz w:val="30"/>
        </w:rPr>
        <w:t>六、来源、核验结果与局限性说明</w:t>
      </w:r>
    </w:p>
    <w:p>
      <w:pPr>
        <w:spacing w:line="560" w:lineRule="exact" w:after="120"/>
        <w:ind w:firstLine="480"/>
      </w:pPr>
      <w:r>
        <w:rPr>
          <w:rFonts w:ascii="仿宋_GB2312" w:hAnsi="仿宋_GB2312" w:eastAsia="仿宋_GB2312"/>
          <w:b w:val="0"/>
          <w:sz w:val="24"/>
        </w:rPr>
        <w:t>（一）一手来源：国家法律法规数据库（flk.npc.gov.cn）25件中21件；市场监管总局官网（126号令、91号令发布页）；国务院国资委官网（国资发〔2010〕41号发布页）；最高人民法院官网（法释〔2020〕7号全文页）；国家标准全文公开系统（GB/T 29490-2023信息页）。</w:t>
      </w:r>
    </w:p>
    <w:p>
      <w:pPr>
        <w:spacing w:line="560" w:lineRule="exact" w:after="120"/>
        <w:ind w:firstLine="480"/>
      </w:pPr>
      <w:r>
        <w:rPr>
          <w:rFonts w:ascii="仿宋_GB2312" w:hAnsi="仿宋_GB2312" w:eastAsia="仿宋_GB2312"/>
          <w:b w:val="0"/>
          <w:sz w:val="24"/>
        </w:rPr>
        <w:t>（二）核验结果：29个文件全部通过四重核验（PDF头/%%EOF/页数/首页正文，或DOCX的PK头与document.xml文本量，或HTML正文长度）。其中7份公报版PDF为扫描件或字体编码件（劳动合同法、律师法、促进科技成果转化法、行政诉讼法、法释〔2020〕7号、知产证据规定等），已另行下载同源DOCX文本版完成条文定位核证，文本版一并存于法源库对应层级目录（标注“文本版”）。</w:t>
      </w:r>
    </w:p>
    <w:p>
      <w:pPr>
        <w:spacing w:line="560" w:lineRule="exact" w:after="120"/>
        <w:ind w:firstLine="480"/>
      </w:pPr>
      <w:r>
        <w:rPr>
          <w:rFonts w:ascii="仿宋_GB2312" w:hAnsi="仿宋_GB2312" w:eastAsia="仿宋_GB2312"/>
          <w:b w:val="0"/>
          <w:sz w:val="24"/>
        </w:rPr>
        <w:t>（三）渠道受限说明：最高人民检察院、公安部官网（spp.gov.cn / mps.gov.cn）存在访问限制，《立案追诉标准（二）》PDF经深交所官网转发渠道获取（官方信息披露平台转发件），高检发〔2020〕15号决定经深圳市人民检察院官网存档获取全文；上述文件内容均已通过条文比对交叉核证。国标GB/T 29490-2023全文仅提供在线预览，本库存档标准信息页，全文请至国家标准全文公开系统在线查阅。</w:t>
      </w:r>
    </w:p>
    <w:p>
      <w:pPr>
        <w:spacing w:line="560" w:lineRule="exact" w:after="120"/>
        <w:ind w:firstLine="480"/>
      </w:pPr>
      <w:r>
        <w:rPr>
          <w:rFonts w:ascii="仿宋_GB2312" w:hAnsi="仿宋_GB2312" w:eastAsia="仿宋_GB2312"/>
          <w:b w:val="0"/>
          <w:sz w:val="24"/>
        </w:rPr>
        <w:t>（四）待核证事项：民诉法2023年修正的施行日期（2024年1月1日）未在公报全文中重述，系依全国人大常委会修正决定通行表述；高检发〔2020〕15号文号未在存档页面显示，系依此前核证记录。上述两处已标注〔待核证〕，不影响条文内容与效力状态判断。</w:t>
      </w:r>
    </w:p>
    <w:p>
      <w:pPr>
        <w:spacing w:line="560" w:lineRule="exact" w:after="120"/>
        <w:ind w:firstLine="480"/>
      </w:pPr>
      <w:r>
        <w:rPr>
          <w:rFonts w:ascii="仿宋_GB2312" w:hAnsi="仿宋_GB2312" w:eastAsia="仿宋_GB2312"/>
          <w:b w:val="0"/>
          <w:sz w:val="24"/>
        </w:rPr>
        <w:t>（五）本报告仅供专业研究参考，不构成法律意见；具体案件适用请以现行有效文本及有权机关解释为准。配套文件：《商业秘密法源台账.xlsx》（含法源台账总表、涉商业秘密条文索引、文件核验明细、重大核证发现四个工作表）。</w:t>
      </w:r>
    </w:p>
    <w:sectPr w:rsidR="00FC693F" w:rsidRPr="0006063C" w:rsidSect="00034616">
      <w:pgSz w:w="11906" w:h="16838"/>
      <w:pgMar w:top="1701" w:right="1587" w:bottom="1587"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